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FORM 10-K</w:t>
      </w:r>
    </w:p>
    <w:p>
      <w:pPr>
        <w:spacing w:after="0" w:line="150" w:lineRule="exact"/>
        <w:rPr>
          <w:sz w:val="24"/>
          <w:szCs w:val="24"/>
          <w:color w:val="auto"/>
        </w:rPr>
      </w:pPr>
    </w:p>
    <w:p>
      <w:pPr>
        <w:ind w:left="2820" w:hanging="165"/>
        <w:spacing w:after="0"/>
        <w:tabs>
          <w:tab w:leader="none" w:pos="282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For the fiscal year ended December 31, 2024</w:t>
      </w:r>
    </w:p>
    <w:p>
      <w:pPr>
        <w:jc w:val="center"/>
        <w:ind w:right="-39"/>
        <w:spacing w:after="0" w:line="209" w:lineRule="auto"/>
        <w:rPr>
          <w:sz w:val="20"/>
          <w:szCs w:val="20"/>
          <w:color w:val="auto"/>
        </w:rPr>
      </w:pPr>
      <w:r>
        <w:rPr>
          <w:rFonts w:ascii="Times New Roman" w:cs="Times New Roman" w:eastAsia="Times New Roman" w:hAnsi="Times New Roman"/>
          <w:sz w:val="10"/>
          <w:szCs w:val="10"/>
          <w:color w:val="auto"/>
        </w:rPr>
        <w:t>or</w:t>
      </w:r>
    </w:p>
    <w:p>
      <w:pPr>
        <w:ind w:left="2700" w:hanging="169"/>
        <w:spacing w:after="0"/>
        <w:tabs>
          <w:tab w:leader="none" w:pos="270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5" w:lineRule="exact"/>
        <w:rPr>
          <w:sz w:val="24"/>
          <w:szCs w:val="24"/>
          <w:color w:val="auto"/>
        </w:rPr>
      </w:pPr>
    </w:p>
    <w:tbl>
      <w:tblPr>
        <w:tblLayout w:type="fixed"/>
        <w:tblInd w:w="10" w:type="dxa"/>
        <w:tblCellMar>
          <w:top w:w="0" w:type="dxa"/>
          <w:left w:w="0" w:type="dxa"/>
          <w:bottom w:w="0" w:type="dxa"/>
          <w:right w:w="0" w:type="dxa"/>
        </w:tblCellMar>
      </w:tblPr>
      <w:tr>
        <w:trPr>
          <w:trHeight w:val="123"/>
        </w:trPr>
        <w:tc>
          <w:tcPr>
            <w:tcW w:w="3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color w:val="auto"/>
                <w:w w:val="95"/>
              </w:rPr>
              <w:t>For the transition period from _______ to _______</w:t>
            </w:r>
          </w:p>
        </w:tc>
        <w:tc>
          <w:tcPr>
            <w:tcW w:w="3760" w:type="dxa"/>
            <w:vAlign w:val="bottom"/>
          </w:tcPr>
          <w:p>
            <w:pPr>
              <w:spacing w:after="0"/>
              <w:rPr>
                <w:sz w:val="10"/>
                <w:szCs w:val="10"/>
                <w:color w:val="auto"/>
              </w:rPr>
            </w:pPr>
          </w:p>
        </w:tc>
      </w:tr>
      <w:tr>
        <w:trPr>
          <w:trHeight w:val="268"/>
        </w:trPr>
        <w:tc>
          <w:tcPr>
            <w:tcW w:w="3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9"/>
              </w:rPr>
              <w:t xml:space="preserve">Commission file number </w:t>
            </w:r>
            <w:r>
              <w:rPr>
                <w:rFonts w:ascii="Times New Roman" w:cs="Times New Roman" w:eastAsia="Times New Roman" w:hAnsi="Times New Roman"/>
                <w:sz w:val="12"/>
                <w:szCs w:val="12"/>
                <w:b w:val="1"/>
                <w:bCs w:val="1"/>
                <w:color w:val="auto"/>
                <w:w w:val="99"/>
              </w:rPr>
              <w:t>1-7416</w:t>
            </w:r>
          </w:p>
        </w:tc>
        <w:tc>
          <w:tcPr>
            <w:tcW w:w="3760" w:type="dxa"/>
            <w:vAlign w:val="bottom"/>
          </w:tcPr>
          <w:p>
            <w:pPr>
              <w:spacing w:after="0"/>
              <w:rPr>
                <w:sz w:val="23"/>
                <w:szCs w:val="23"/>
                <w:color w:val="auto"/>
              </w:rPr>
            </w:pPr>
          </w:p>
        </w:tc>
      </w:tr>
      <w:tr>
        <w:trPr>
          <w:trHeight w:val="466"/>
        </w:trPr>
        <w:tc>
          <w:tcPr>
            <w:tcW w:w="3600" w:type="dxa"/>
            <w:vAlign w:val="bottom"/>
          </w:tcPr>
          <w:p>
            <w:pPr>
              <w:spacing w:after="0"/>
              <w:rPr>
                <w:sz w:val="24"/>
                <w:szCs w:val="24"/>
                <w:color w:val="auto"/>
              </w:rPr>
            </w:pPr>
          </w:p>
        </w:tc>
        <w:tc>
          <w:tcPr>
            <w:tcW w:w="3940" w:type="dxa"/>
            <w:vAlign w:val="bottom"/>
            <w:gridSpan w:val="3"/>
          </w:tcPr>
          <w:p>
            <w:pPr>
              <w:jc w:val="center"/>
              <w:ind w:left="112"/>
              <w:spacing w:after="0"/>
              <w:rPr>
                <w:sz w:val="20"/>
                <w:szCs w:val="20"/>
                <w:color w:val="auto"/>
              </w:rPr>
            </w:pPr>
            <w:r>
              <w:rPr>
                <w:rFonts w:ascii="Times New Roman" w:cs="Times New Roman" w:eastAsia="Times New Roman" w:hAnsi="Times New Roman"/>
                <w:sz w:val="29"/>
                <w:szCs w:val="29"/>
                <w:b w:val="1"/>
                <w:bCs w:val="1"/>
                <w:color w:val="auto"/>
                <w:w w:val="98"/>
              </w:rPr>
              <w:t>Vishay Intertechnology, Inc.</w:t>
            </w:r>
          </w:p>
        </w:tc>
        <w:tc>
          <w:tcPr>
            <w:tcW w:w="3760" w:type="dxa"/>
            <w:vAlign w:val="bottom"/>
          </w:tcPr>
          <w:p>
            <w:pPr>
              <w:spacing w:after="0"/>
              <w:rPr>
                <w:sz w:val="24"/>
                <w:szCs w:val="24"/>
                <w:color w:val="auto"/>
              </w:rPr>
            </w:pPr>
          </w:p>
        </w:tc>
      </w:tr>
      <w:tr>
        <w:trPr>
          <w:trHeight w:val="155"/>
        </w:trPr>
        <w:tc>
          <w:tcPr>
            <w:tcW w:w="3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60" w:type="dxa"/>
            <w:vAlign w:val="bottom"/>
          </w:tcPr>
          <w:p>
            <w:pPr>
              <w:spacing w:after="0"/>
              <w:rPr>
                <w:sz w:val="13"/>
                <w:szCs w:val="13"/>
                <w:color w:val="auto"/>
              </w:rPr>
            </w:pPr>
          </w:p>
        </w:tc>
      </w:tr>
      <w:tr>
        <w:trPr>
          <w:trHeight w:val="274"/>
        </w:trPr>
        <w:tc>
          <w:tcPr>
            <w:tcW w:w="3600" w:type="dxa"/>
            <w:vAlign w:val="bottom"/>
          </w:tcPr>
          <w:p>
            <w:pPr>
              <w:jc w:val="center"/>
              <w:ind w:left="1707"/>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760" w:type="dxa"/>
            <w:vAlign w:val="bottom"/>
          </w:tcPr>
          <w:p>
            <w:pPr>
              <w:jc w:val="right"/>
              <w:ind w:right="2626"/>
              <w:spacing w:after="0"/>
              <w:rPr>
                <w:sz w:val="20"/>
                <w:szCs w:val="20"/>
                <w:color w:val="auto"/>
              </w:rPr>
            </w:pPr>
            <w:r>
              <w:rPr>
                <w:rFonts w:ascii="Times New Roman" w:cs="Times New Roman" w:eastAsia="Times New Roman" w:hAnsi="Times New Roman"/>
                <w:sz w:val="12"/>
                <w:szCs w:val="12"/>
                <w:b w:val="1"/>
                <w:bCs w:val="1"/>
                <w:color w:val="auto"/>
              </w:rPr>
              <w:t>38-1686453</w:t>
            </w:r>
          </w:p>
        </w:tc>
      </w:tr>
      <w:tr>
        <w:trPr>
          <w:trHeight w:val="99"/>
        </w:trPr>
        <w:tc>
          <w:tcPr>
            <w:tcW w:w="3600" w:type="dxa"/>
            <w:vAlign w:val="bottom"/>
          </w:tcPr>
          <w:p>
            <w:pPr>
              <w:jc w:val="center"/>
              <w:ind w:left="1707"/>
              <w:spacing w:after="0" w:line="99" w:lineRule="exact"/>
              <w:rPr>
                <w:sz w:val="20"/>
                <w:szCs w:val="20"/>
                <w:color w:val="auto"/>
              </w:rPr>
            </w:pPr>
            <w:r>
              <w:rPr>
                <w:rFonts w:ascii="Times New Roman" w:cs="Times New Roman" w:eastAsia="Times New Roman" w:hAnsi="Times New Roman"/>
                <w:sz w:val="10"/>
                <w:szCs w:val="10"/>
                <w:color w:val="auto"/>
                <w:w w:val="96"/>
              </w:rPr>
              <w:t>(State or other jurisdiction of</w:t>
            </w:r>
          </w:p>
        </w:tc>
        <w:tc>
          <w:tcPr>
            <w:tcW w:w="5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760" w:type="dxa"/>
            <w:vAlign w:val="bottom"/>
          </w:tcPr>
          <w:p>
            <w:pPr>
              <w:jc w:val="center"/>
              <w:ind w:right="2146"/>
              <w:spacing w:after="0" w:line="99" w:lineRule="exact"/>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123"/>
        </w:trPr>
        <w:tc>
          <w:tcPr>
            <w:tcW w:w="3600" w:type="dxa"/>
            <w:vAlign w:val="bottom"/>
          </w:tcPr>
          <w:p>
            <w:pPr>
              <w:jc w:val="center"/>
              <w:ind w:left="1707"/>
              <w:spacing w:after="0"/>
              <w:rPr>
                <w:sz w:val="20"/>
                <w:szCs w:val="20"/>
                <w:color w:val="auto"/>
              </w:rPr>
            </w:pPr>
            <w:r>
              <w:rPr>
                <w:rFonts w:ascii="Times New Roman" w:cs="Times New Roman" w:eastAsia="Times New Roman" w:hAnsi="Times New Roman"/>
                <w:sz w:val="10"/>
                <w:szCs w:val="10"/>
                <w:color w:val="auto"/>
                <w:w w:val="96"/>
              </w:rPr>
              <w:t>incorporation or organization)</w:t>
            </w:r>
          </w:p>
        </w:tc>
        <w:tc>
          <w:tcPr>
            <w:tcW w:w="5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760" w:type="dxa"/>
            <w:vAlign w:val="bottom"/>
          </w:tcPr>
          <w:p>
            <w:pPr>
              <w:spacing w:after="0"/>
              <w:rPr>
                <w:sz w:val="10"/>
                <w:szCs w:val="10"/>
                <w:color w:val="auto"/>
              </w:rPr>
            </w:pPr>
          </w:p>
        </w:tc>
      </w:tr>
      <w:tr>
        <w:trPr>
          <w:trHeight w:val="263"/>
        </w:trPr>
        <w:tc>
          <w:tcPr>
            <w:tcW w:w="3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3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63 Lancaster Avenue</w:t>
            </w:r>
          </w:p>
        </w:tc>
        <w:tc>
          <w:tcPr>
            <w:tcW w:w="3760" w:type="dxa"/>
            <w:vAlign w:val="bottom"/>
          </w:tcPr>
          <w:p>
            <w:pPr>
              <w:spacing w:after="0"/>
              <w:rPr>
                <w:sz w:val="22"/>
                <w:szCs w:val="22"/>
                <w:color w:val="auto"/>
              </w:rPr>
            </w:pPr>
          </w:p>
        </w:tc>
      </w:tr>
      <w:tr>
        <w:trPr>
          <w:trHeight w:val="144"/>
        </w:trPr>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Malvern, Pennsylvania 19355-2143</w:t>
            </w:r>
          </w:p>
        </w:tc>
        <w:tc>
          <w:tcPr>
            <w:tcW w:w="3760" w:type="dxa"/>
            <w:vAlign w:val="bottom"/>
          </w:tcPr>
          <w:p>
            <w:pPr>
              <w:spacing w:after="0"/>
              <w:rPr>
                <w:sz w:val="12"/>
                <w:szCs w:val="12"/>
                <w:color w:val="auto"/>
              </w:rPr>
            </w:pPr>
          </w:p>
        </w:tc>
      </w:tr>
      <w:tr>
        <w:trPr>
          <w:trHeight w:val="123"/>
        </w:trPr>
        <w:tc>
          <w:tcPr>
            <w:tcW w:w="3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3760" w:type="dxa"/>
            <w:vAlign w:val="bottom"/>
          </w:tcPr>
          <w:p>
            <w:pPr>
              <w:spacing w:after="0"/>
              <w:rPr>
                <w:sz w:val="10"/>
                <w:szCs w:val="10"/>
                <w:color w:val="auto"/>
              </w:rPr>
            </w:pPr>
          </w:p>
        </w:tc>
      </w:tr>
      <w:tr>
        <w:trPr>
          <w:trHeight w:val="264"/>
        </w:trPr>
        <w:tc>
          <w:tcPr>
            <w:tcW w:w="3600" w:type="dxa"/>
            <w:vAlign w:val="bottom"/>
          </w:tcPr>
          <w:p>
            <w:pPr>
              <w:spacing w:after="0"/>
              <w:rPr>
                <w:sz w:val="22"/>
                <w:szCs w:val="22"/>
                <w:color w:val="auto"/>
              </w:rPr>
            </w:pPr>
          </w:p>
        </w:tc>
        <w:tc>
          <w:tcPr>
            <w:tcW w:w="2900" w:type="dxa"/>
            <w:vAlign w:val="bottom"/>
            <w:gridSpan w:val="2"/>
          </w:tcPr>
          <w:p>
            <w:pPr>
              <w:jc w:val="center"/>
              <w:ind w:left="1152"/>
              <w:spacing w:after="0"/>
              <w:rPr>
                <w:sz w:val="20"/>
                <w:szCs w:val="20"/>
                <w:color w:val="auto"/>
              </w:rPr>
            </w:pPr>
            <w:r>
              <w:rPr>
                <w:rFonts w:ascii="Times New Roman" w:cs="Times New Roman" w:eastAsia="Times New Roman" w:hAnsi="Times New Roman"/>
                <w:sz w:val="12"/>
                <w:szCs w:val="12"/>
                <w:b w:val="1"/>
                <w:bCs w:val="1"/>
                <w:color w:val="auto"/>
                <w:w w:val="98"/>
              </w:rPr>
              <w:t>(610) 644-1300</w:t>
            </w:r>
          </w:p>
        </w:tc>
        <w:tc>
          <w:tcPr>
            <w:tcW w:w="104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123"/>
        </w:trPr>
        <w:tc>
          <w:tcPr>
            <w:tcW w:w="3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36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w w:val="94"/>
              </w:rPr>
              <w:t>(Registrant’s telephone number, including area code)</w:t>
            </w:r>
          </w:p>
        </w:tc>
        <w:tc>
          <w:tcPr>
            <w:tcW w:w="3760" w:type="dxa"/>
            <w:vAlign w:val="bottom"/>
          </w:tcPr>
          <w:p>
            <w:pPr>
              <w:spacing w:after="0"/>
              <w:rPr>
                <w:sz w:val="10"/>
                <w:szCs w:val="10"/>
                <w:color w:val="auto"/>
              </w:rPr>
            </w:pPr>
          </w:p>
        </w:tc>
      </w:tr>
      <w:tr>
        <w:trPr>
          <w:trHeight w:val="278"/>
        </w:trPr>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760" w:type="dxa"/>
            <w:vAlign w:val="bottom"/>
          </w:tcPr>
          <w:p>
            <w:pPr>
              <w:spacing w:after="0"/>
              <w:rPr>
                <w:sz w:val="24"/>
                <w:szCs w:val="24"/>
                <w:color w:val="auto"/>
              </w:rPr>
            </w:pPr>
          </w:p>
        </w:tc>
      </w:tr>
      <w:tr>
        <w:trPr>
          <w:trHeight w:val="144"/>
        </w:trPr>
        <w:tc>
          <w:tcPr>
            <w:tcW w:w="3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r>
      <w:tr>
        <w:trPr>
          <w:trHeight w:val="97"/>
        </w:trPr>
        <w:tc>
          <w:tcPr>
            <w:tcW w:w="3600" w:type="dxa"/>
            <w:vAlign w:val="bottom"/>
            <w:tcBorders>
              <w:left w:val="single" w:sz="8" w:color="auto"/>
              <w:bottom w:val="single" w:sz="8" w:color="auto"/>
            </w:tcBorders>
          </w:tcPr>
          <w:p>
            <w:pPr>
              <w:jc w:val="center"/>
              <w:ind w:left="567"/>
              <w:spacing w:after="0" w:line="97" w:lineRule="exact"/>
              <w:rPr>
                <w:sz w:val="20"/>
                <w:szCs w:val="20"/>
                <w:color w:val="auto"/>
              </w:rPr>
            </w:pPr>
            <w:r>
              <w:rPr>
                <w:rFonts w:ascii="Times New Roman" w:cs="Times New Roman" w:eastAsia="Times New Roman" w:hAnsi="Times New Roman"/>
                <w:sz w:val="10"/>
                <w:szCs w:val="10"/>
                <w:color w:val="auto"/>
                <w:w w:val="96"/>
              </w:rPr>
              <w:t>Title of each class</w:t>
            </w:r>
          </w:p>
        </w:tc>
        <w:tc>
          <w:tcPr>
            <w:tcW w:w="58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color w:val="auto"/>
                <w:w w:val="97"/>
              </w:rPr>
              <w:t>Trading symbol</w:t>
            </w:r>
          </w:p>
        </w:tc>
        <w:tc>
          <w:tcPr>
            <w:tcW w:w="1040" w:type="dxa"/>
            <w:vAlign w:val="bottom"/>
            <w:tcBorders>
              <w:bottom w:val="single" w:sz="8" w:color="auto"/>
            </w:tcBorders>
          </w:tcPr>
          <w:p>
            <w:pPr>
              <w:spacing w:after="0"/>
              <w:rPr>
                <w:sz w:val="8"/>
                <w:szCs w:val="8"/>
                <w:color w:val="auto"/>
              </w:rPr>
            </w:pPr>
          </w:p>
        </w:tc>
        <w:tc>
          <w:tcPr>
            <w:tcW w:w="3760" w:type="dxa"/>
            <w:vAlign w:val="bottom"/>
            <w:tcBorders>
              <w:bottom w:val="single" w:sz="8" w:color="auto"/>
              <w:right w:val="single" w:sz="8" w:color="auto"/>
            </w:tcBorders>
          </w:tcPr>
          <w:p>
            <w:pPr>
              <w:jc w:val="center"/>
              <w:ind w:right="966"/>
              <w:spacing w:after="0" w:line="97" w:lineRule="exact"/>
              <w:rPr>
                <w:sz w:val="20"/>
                <w:szCs w:val="20"/>
                <w:color w:val="auto"/>
              </w:rPr>
            </w:pPr>
            <w:r>
              <w:rPr>
                <w:rFonts w:ascii="Times New Roman" w:cs="Times New Roman" w:eastAsia="Times New Roman" w:hAnsi="Times New Roman"/>
                <w:sz w:val="10"/>
                <w:szCs w:val="10"/>
                <w:color w:val="auto"/>
                <w:w w:val="95"/>
              </w:rPr>
              <w:t>Name of exchange on which registered</w:t>
            </w:r>
          </w:p>
        </w:tc>
      </w:tr>
      <w:tr>
        <w:trPr>
          <w:trHeight w:val="142"/>
        </w:trPr>
        <w:tc>
          <w:tcPr>
            <w:tcW w:w="3600" w:type="dxa"/>
            <w:vAlign w:val="bottom"/>
            <w:tcBorders>
              <w:left w:val="single" w:sz="8" w:color="auto"/>
              <w:bottom w:val="single" w:sz="8" w:color="auto"/>
            </w:tcBorders>
          </w:tcPr>
          <w:p>
            <w:pPr>
              <w:jc w:val="center"/>
              <w:ind w:left="547"/>
              <w:spacing w:after="0"/>
              <w:rPr>
                <w:sz w:val="20"/>
                <w:szCs w:val="20"/>
                <w:color w:val="auto"/>
              </w:rPr>
            </w:pPr>
            <w:r>
              <w:rPr>
                <w:rFonts w:ascii="Times New Roman" w:cs="Times New Roman" w:eastAsia="Times New Roman" w:hAnsi="Times New Roman"/>
                <w:sz w:val="12"/>
                <w:szCs w:val="12"/>
                <w:color w:val="auto"/>
                <w:w w:val="99"/>
              </w:rPr>
              <w:t>Common stock, par value $0.10 per share</w:t>
            </w:r>
          </w:p>
        </w:tc>
        <w:tc>
          <w:tcPr>
            <w:tcW w:w="58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VSH</w:t>
            </w:r>
          </w:p>
        </w:tc>
        <w:tc>
          <w:tcPr>
            <w:tcW w:w="104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966"/>
              <w:spacing w:after="0"/>
              <w:rPr>
                <w:sz w:val="20"/>
                <w:szCs w:val="20"/>
                <w:color w:val="auto"/>
              </w:rPr>
            </w:pPr>
            <w:r>
              <w:rPr>
                <w:rFonts w:ascii="Times New Roman" w:cs="Times New Roman" w:eastAsia="Times New Roman" w:hAnsi="Times New Roman"/>
                <w:sz w:val="12"/>
                <w:szCs w:val="12"/>
                <w:color w:val="auto"/>
                <w:w w:val="98"/>
              </w:rPr>
              <w:t>New York Stock Exchange LLC</w:t>
            </w:r>
          </w:p>
        </w:tc>
      </w:tr>
      <w:tr>
        <w:trPr>
          <w:trHeight w:val="286"/>
        </w:trPr>
        <w:tc>
          <w:tcPr>
            <w:tcW w:w="3600" w:type="dxa"/>
            <w:vAlign w:val="bottom"/>
          </w:tcPr>
          <w:p>
            <w:pPr>
              <w:spacing w:after="0"/>
              <w:rPr>
                <w:sz w:val="24"/>
                <w:szCs w:val="24"/>
                <w:color w:val="auto"/>
              </w:rPr>
            </w:pPr>
          </w:p>
        </w:tc>
        <w:tc>
          <w:tcPr>
            <w:tcW w:w="3940" w:type="dxa"/>
            <w:vAlign w:val="bottom"/>
            <w:gridSpan w:val="3"/>
          </w:tcPr>
          <w:p>
            <w:pPr>
              <w:jc w:val="center"/>
              <w:ind w:left="112"/>
              <w:spacing w:after="0"/>
              <w:rPr>
                <w:sz w:val="20"/>
                <w:szCs w:val="20"/>
                <w:color w:val="auto"/>
              </w:rPr>
            </w:pPr>
            <w:r>
              <w:rPr>
                <w:rFonts w:ascii="Times New Roman" w:cs="Times New Roman" w:eastAsia="Times New Roman" w:hAnsi="Times New Roman"/>
                <w:sz w:val="12"/>
                <w:szCs w:val="12"/>
                <w:color w:val="auto"/>
              </w:rPr>
              <w:t xml:space="preserve">Securities registered pursuant to Section 12(g) of the Act: </w:t>
            </w:r>
            <w:r>
              <w:rPr>
                <w:rFonts w:ascii="Times New Roman" w:cs="Times New Roman" w:eastAsia="Times New Roman" w:hAnsi="Times New Roman"/>
                <w:sz w:val="12"/>
                <w:szCs w:val="12"/>
                <w:b w:val="1"/>
                <w:bCs w:val="1"/>
                <w:color w:val="auto"/>
              </w:rPr>
              <w:t>None</w:t>
            </w:r>
          </w:p>
        </w:tc>
        <w:tc>
          <w:tcPr>
            <w:tcW w:w="3760" w:type="dxa"/>
            <w:vAlign w:val="bottom"/>
          </w:tcPr>
          <w:p>
            <w:pPr>
              <w:spacing w:after="0"/>
              <w:rPr>
                <w:sz w:val="24"/>
                <w:szCs w:val="24"/>
                <w:color w:val="auto"/>
              </w:rPr>
            </w:pPr>
          </w:p>
        </w:tc>
      </w:tr>
    </w:tbl>
    <w:p>
      <w:pPr>
        <w:spacing w:after="0" w:line="11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4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 Checking the box above will not relieve any registrant required to file reports under Section 13 or 15(d) of the Exchange Act from their obligations under those Sections.</w:t>
      </w:r>
    </w:p>
    <w:p>
      <w:pPr>
        <w:spacing w:after="0" w:line="132" w:lineRule="exact"/>
        <w:rPr>
          <w:sz w:val="24"/>
          <w:szCs w:val="24"/>
          <w:color w:val="auto"/>
        </w:rPr>
      </w:pPr>
    </w:p>
    <w:p>
      <w:pPr>
        <w:jc w:val="both"/>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14" w:lineRule="exact"/>
        <w:rPr>
          <w:sz w:val="24"/>
          <w:szCs w:val="24"/>
          <w:color w:val="auto"/>
        </w:rPr>
      </w:pPr>
    </w:p>
    <w:p>
      <w:pPr>
        <w:jc w:val="both"/>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1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2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Large accelerated filer</w:t>
            </w:r>
          </w:p>
        </w:tc>
        <w:tc>
          <w:tcPr>
            <w:tcW w:w="2080" w:type="dxa"/>
            <w:vAlign w:val="bottom"/>
          </w:tcPr>
          <w:p>
            <w:pPr>
              <w:ind w:left="190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36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Accelerated filer</w:t>
            </w:r>
          </w:p>
        </w:tc>
        <w:tc>
          <w:tcPr>
            <w:tcW w:w="2420" w:type="dxa"/>
            <w:vAlign w:val="bottom"/>
          </w:tcPr>
          <w:p>
            <w:pPr>
              <w:ind w:left="23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5"/>
        </w:trPr>
        <w:tc>
          <w:tcPr>
            <w:tcW w:w="2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Non-accelerated filer</w:t>
            </w:r>
          </w:p>
        </w:tc>
        <w:tc>
          <w:tcPr>
            <w:tcW w:w="2080" w:type="dxa"/>
            <w:vAlign w:val="bottom"/>
          </w:tcPr>
          <w:p>
            <w:pPr>
              <w:ind w:left="1900"/>
              <w:spacing w:after="0" w:line="111" w:lineRule="exact"/>
              <w:rPr>
                <w:sz w:val="20"/>
                <w:szCs w:val="20"/>
                <w:color w:val="auto"/>
              </w:rPr>
            </w:pPr>
            <w:r>
              <w:rPr>
                <w:rFonts w:ascii="MS PGothic" w:cs="MS PGothic" w:eastAsia="MS PGothic" w:hAnsi="MS PGothic"/>
                <w:sz w:val="11"/>
                <w:szCs w:val="11"/>
                <w:color w:val="auto"/>
              </w:rPr>
              <w:t>☐</w:t>
            </w:r>
          </w:p>
        </w:tc>
        <w:tc>
          <w:tcPr>
            <w:tcW w:w="36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Smaller reporting company</w:t>
            </w:r>
          </w:p>
        </w:tc>
        <w:tc>
          <w:tcPr>
            <w:tcW w:w="2420" w:type="dxa"/>
            <w:vAlign w:val="bottom"/>
          </w:tcPr>
          <w:p>
            <w:pPr>
              <w:ind w:left="2320"/>
              <w:spacing w:after="0" w:line="111" w:lineRule="exact"/>
              <w:rPr>
                <w:sz w:val="20"/>
                <w:szCs w:val="20"/>
                <w:color w:val="auto"/>
              </w:rPr>
            </w:pPr>
            <w:r>
              <w:rPr>
                <w:rFonts w:ascii="MS PGothic" w:cs="MS PGothic" w:eastAsia="MS PGothic" w:hAnsi="MS PGothic"/>
                <w:sz w:val="11"/>
                <w:szCs w:val="11"/>
                <w:color w:val="auto"/>
                <w:highlight w:val="black"/>
                <w:w w:val="72"/>
              </w:rPr>
              <w:t>☐</w:t>
            </w:r>
          </w:p>
        </w:tc>
      </w:tr>
      <w:tr>
        <w:trPr>
          <w:trHeight w:val="180"/>
        </w:trPr>
        <w:tc>
          <w:tcPr>
            <w:tcW w:w="2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Emerging growth company</w:t>
            </w:r>
          </w:p>
        </w:tc>
        <w:tc>
          <w:tcPr>
            <w:tcW w:w="2420" w:type="dxa"/>
            <w:vAlign w:val="bottom"/>
          </w:tcPr>
          <w:p>
            <w:pPr>
              <w:ind w:left="2320"/>
              <w:spacing w:after="0" w:line="111" w:lineRule="exact"/>
              <w:rPr>
                <w:sz w:val="20"/>
                <w:szCs w:val="20"/>
                <w:color w:val="auto"/>
              </w:rPr>
            </w:pPr>
            <w:r>
              <w:rPr>
                <w:rFonts w:ascii="MS PGothic" w:cs="MS PGothic" w:eastAsia="MS PGothic" w:hAnsi="MS PGothic"/>
                <w:sz w:val="11"/>
                <w:szCs w:val="11"/>
                <w:color w:val="auto"/>
                <w:highlight w:val="black"/>
                <w:w w:val="72"/>
              </w:rPr>
              <w:t>☐</w:t>
            </w:r>
          </w:p>
        </w:tc>
      </w:tr>
    </w:tbl>
    <w:p>
      <w:pPr>
        <w:spacing w:after="0" w:line="90"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68"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90"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68"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9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checkmark whether the registrant is a shell company (as defined in Rule 12b-2 of the Act).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p>
    <w:p>
      <w:pPr>
        <w:spacing w:after="0" w:line="16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1"/>
          <w:szCs w:val="11"/>
          <w:color w:val="auto"/>
        </w:rPr>
        <w:t>The aggregate market value of the voting stock held by non-affiliates computed by reference to the price at which the common equity was last sold as of the last business day of the registrant’s most recently completed second fiscal quarter ($22.30 on June 29, 2024), assuming conversion of all of its Class B common stock held by non-affiliates into common stock of the registrant, was $2,805,000,000. There is no non-voting stock outstanding.</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February 12, 2025, registrant had 123,469,861 shares of its common stock (excluding treasury stock) and 12,097,148 shares of its Class B common stock outstanding.</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DOCUMENTS INCORPORATED BY REFERENCE</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registrant’s definitive proxy statement, which will be filed within 120 days of December 31, 2024, are incorporated by reference into Part III.</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This page intentionally left blank.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10-K for the year ended December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4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04"/>
        </w:trPr>
        <w:tc>
          <w:tcPr>
            <w:tcW w:w="7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0000EE"/>
              </w:rPr>
              <w:t>PART I</w:t>
            </w:r>
          </w:p>
        </w:tc>
        <w:tc>
          <w:tcPr>
            <w:tcW w:w="9760" w:type="dxa"/>
            <w:vAlign w:val="bottom"/>
            <w:gridSpan w:val="27"/>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4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5"/>
        </w:trPr>
        <w:tc>
          <w:tcPr>
            <w:tcW w:w="10540" w:type="dxa"/>
            <w:vAlign w:val="bottom"/>
            <w:gridSpan w:val="3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 Business</w:t>
            </w: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85"/>
              </w:rPr>
              <w:t>4</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1A. Risk Factors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16</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0540" w:type="dxa"/>
            <w:vAlign w:val="bottom"/>
            <w:gridSpan w:val="3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1B. Unresolved Staff Comments</w:t>
            </w: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26</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340" w:type="dxa"/>
            <w:vAlign w:val="bottom"/>
            <w:gridSpan w:val="9"/>
          </w:tcPr>
          <w:p>
            <w:pPr>
              <w:spacing w:after="0" w:line="135" w:lineRule="exact"/>
              <w:rPr>
                <w:sz w:val="20"/>
                <w:szCs w:val="20"/>
                <w:color w:val="auto"/>
              </w:rPr>
            </w:pPr>
            <w:r>
              <w:rPr>
                <w:rFonts w:ascii="Times New Roman" w:cs="Times New Roman" w:eastAsia="Times New Roman" w:hAnsi="Times New Roman"/>
                <w:sz w:val="14"/>
                <w:szCs w:val="14"/>
                <w:color w:val="0000EE"/>
              </w:rPr>
              <w:t>Item 1C. Cybersecurity</w:t>
            </w:r>
          </w:p>
        </w:tc>
        <w:tc>
          <w:tcPr>
            <w:tcW w:w="820" w:type="dxa"/>
            <w:vAlign w:val="bottom"/>
            <w:gridSpan w:val="6"/>
          </w:tcPr>
          <w:p>
            <w:pPr>
              <w:spacing w:after="0"/>
              <w:rPr>
                <w:sz w:val="11"/>
                <w:szCs w:val="11"/>
                <w:color w:val="auto"/>
              </w:rPr>
            </w:pPr>
          </w:p>
        </w:tc>
        <w:tc>
          <w:tcPr>
            <w:tcW w:w="8380" w:type="dxa"/>
            <w:vAlign w:val="bottom"/>
            <w:gridSpan w:val="17"/>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26</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060" w:type="dxa"/>
            <w:vAlign w:val="bottom"/>
            <w:tcBorders>
              <w:right w:val="single" w:sz="8" w:color="CCEEFF"/>
            </w:tcBorders>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2. Properties</w:t>
            </w:r>
          </w:p>
        </w:tc>
        <w:tc>
          <w:tcPr>
            <w:tcW w:w="280" w:type="dxa"/>
            <w:vAlign w:val="bottom"/>
            <w:gridSpan w:val="2"/>
            <w:shd w:val="clear" w:color="auto" w:fill="CCEEFF"/>
          </w:tcPr>
          <w:p>
            <w:pPr>
              <w:spacing w:after="0"/>
              <w:rPr>
                <w:sz w:val="11"/>
                <w:szCs w:val="11"/>
                <w:color w:val="auto"/>
              </w:rPr>
            </w:pPr>
          </w:p>
        </w:tc>
        <w:tc>
          <w:tcPr>
            <w:tcW w:w="9200" w:type="dxa"/>
            <w:vAlign w:val="bottom"/>
            <w:gridSpan w:val="23"/>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27</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3. Legal Proceedings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29</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860" w:type="dxa"/>
            <w:vAlign w:val="bottom"/>
            <w:gridSpan w:val="1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4. Mine Safety Disclosures</w:t>
            </w:r>
          </w:p>
        </w:tc>
        <w:tc>
          <w:tcPr>
            <w:tcW w:w="8680" w:type="dxa"/>
            <w:vAlign w:val="bottom"/>
            <w:gridSpan w:val="19"/>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29</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Information About Our Executive Officers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30</w:t>
            </w: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right w:val="single" w:sz="8" w:color="CCEEFF"/>
            </w:tcBorders>
            <w:shd w:val="clear" w:color="auto" w:fill="CCEEFF"/>
          </w:tcPr>
          <w:p>
            <w:pPr>
              <w:spacing w:after="0"/>
              <w:rPr>
                <w:sz w:val="14"/>
                <w:szCs w:val="14"/>
                <w:color w:val="auto"/>
              </w:rPr>
            </w:pPr>
          </w:p>
        </w:tc>
        <w:tc>
          <w:tcPr>
            <w:tcW w:w="12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II</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35"/>
        </w:trPr>
        <w:tc>
          <w:tcPr>
            <w:tcW w:w="6940" w:type="dxa"/>
            <w:vAlign w:val="bottom"/>
            <w:gridSpan w:val="31"/>
          </w:tcPr>
          <w:p>
            <w:pPr>
              <w:spacing w:after="0" w:line="135" w:lineRule="exact"/>
              <w:rPr>
                <w:sz w:val="20"/>
                <w:szCs w:val="20"/>
                <w:color w:val="auto"/>
              </w:rPr>
            </w:pPr>
            <w:r>
              <w:rPr>
                <w:rFonts w:ascii="Times New Roman" w:cs="Times New Roman" w:eastAsia="Times New Roman" w:hAnsi="Times New Roman"/>
                <w:sz w:val="14"/>
                <w:szCs w:val="14"/>
                <w:color w:val="0000EE"/>
              </w:rPr>
              <w:t>Item 5. Market for Registrant’s Common Equity, Related Stockholder Matters, and Issuer Purchases of Equity Securities</w:t>
            </w:r>
          </w:p>
        </w:tc>
        <w:tc>
          <w:tcPr>
            <w:tcW w:w="3600" w:type="dxa"/>
            <w:vAlign w:val="bottom"/>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31</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6940" w:type="dxa"/>
            <w:vAlign w:val="bottom"/>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6. [Reserved]</w:t>
            </w:r>
          </w:p>
        </w:tc>
        <w:tc>
          <w:tcPr>
            <w:tcW w:w="3600" w:type="dxa"/>
            <w:vAlign w:val="bottom"/>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32</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7. Management’s Discussion and Analysis of Financial Condition and Results of Operations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33</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5600" w:type="dxa"/>
            <w:vAlign w:val="bottom"/>
            <w:gridSpan w:val="2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7A. Quantitative and Qualitative Disclosures About Market Risk</w:t>
            </w:r>
          </w:p>
        </w:tc>
        <w:tc>
          <w:tcPr>
            <w:tcW w:w="4940" w:type="dxa"/>
            <w:vAlign w:val="bottom"/>
            <w:tcBorders>
              <w:left w:val="single" w:sz="8" w:color="CCEEFF"/>
            </w:tcBorders>
            <w:gridSpan w:val="5"/>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60</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3100" w:type="dxa"/>
            <w:vAlign w:val="bottom"/>
            <w:gridSpan w:val="19"/>
          </w:tcPr>
          <w:p>
            <w:pPr>
              <w:spacing w:after="0" w:line="135" w:lineRule="exact"/>
              <w:rPr>
                <w:sz w:val="20"/>
                <w:szCs w:val="20"/>
                <w:color w:val="auto"/>
              </w:rPr>
            </w:pPr>
            <w:r>
              <w:rPr>
                <w:rFonts w:ascii="Times New Roman" w:cs="Times New Roman" w:eastAsia="Times New Roman" w:hAnsi="Times New Roman"/>
                <w:sz w:val="14"/>
                <w:szCs w:val="14"/>
                <w:color w:val="0000EE"/>
              </w:rPr>
              <w:t>Item 8. Financial Statements and Supplementary Data</w:t>
            </w:r>
          </w:p>
        </w:tc>
        <w:tc>
          <w:tcPr>
            <w:tcW w:w="920" w:type="dxa"/>
            <w:vAlign w:val="bottom"/>
            <w:gridSpan w:val="4"/>
          </w:tcPr>
          <w:p>
            <w:pPr>
              <w:spacing w:after="0"/>
              <w:rPr>
                <w:sz w:val="11"/>
                <w:szCs w:val="11"/>
                <w:color w:val="auto"/>
              </w:rPr>
            </w:pPr>
          </w:p>
        </w:tc>
        <w:tc>
          <w:tcPr>
            <w:tcW w:w="6520" w:type="dxa"/>
            <w:vAlign w:val="bottom"/>
            <w:gridSpan w:val="9"/>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62</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5600" w:type="dxa"/>
            <w:vAlign w:val="bottom"/>
            <w:gridSpan w:val="2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9. Changes In and Disagreements With Accountants on Accounting and Financial Disclosure</w:t>
            </w:r>
          </w:p>
        </w:tc>
        <w:tc>
          <w:tcPr>
            <w:tcW w:w="4940" w:type="dxa"/>
            <w:vAlign w:val="bottom"/>
            <w:tcBorders>
              <w:left w:val="single" w:sz="8" w:color="CCEEFF"/>
            </w:tcBorders>
            <w:gridSpan w:val="5"/>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62</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960" w:type="dxa"/>
            <w:vAlign w:val="bottom"/>
            <w:gridSpan w:val="14"/>
          </w:tcPr>
          <w:p>
            <w:pPr>
              <w:spacing w:after="0" w:line="135" w:lineRule="exact"/>
              <w:rPr>
                <w:sz w:val="20"/>
                <w:szCs w:val="20"/>
                <w:color w:val="auto"/>
              </w:rPr>
            </w:pPr>
            <w:r>
              <w:rPr>
                <w:rFonts w:ascii="Times New Roman" w:cs="Times New Roman" w:eastAsia="Times New Roman" w:hAnsi="Times New Roman"/>
                <w:sz w:val="14"/>
                <w:szCs w:val="14"/>
                <w:color w:val="0000EE"/>
              </w:rPr>
              <w:t>Item 9A. Controls and Procedures</w:t>
            </w:r>
          </w:p>
        </w:tc>
        <w:tc>
          <w:tcPr>
            <w:tcW w:w="3640" w:type="dxa"/>
            <w:vAlign w:val="bottom"/>
            <w:gridSpan w:val="13"/>
          </w:tcPr>
          <w:p>
            <w:pPr>
              <w:spacing w:after="0"/>
              <w:rPr>
                <w:sz w:val="11"/>
                <w:szCs w:val="11"/>
                <w:color w:val="auto"/>
              </w:rPr>
            </w:pPr>
          </w:p>
        </w:tc>
        <w:tc>
          <w:tcPr>
            <w:tcW w:w="4940" w:type="dxa"/>
            <w:vAlign w:val="bottom"/>
            <w:gridSpan w:val="5"/>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62</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960" w:type="dxa"/>
            <w:vAlign w:val="bottom"/>
            <w:tcBorders>
              <w:right w:val="single" w:sz="8" w:color="CCEEFF"/>
            </w:tcBorders>
            <w:gridSpan w:val="1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9B. Other Information</w:t>
            </w:r>
          </w:p>
        </w:tc>
        <w:tc>
          <w:tcPr>
            <w:tcW w:w="8580" w:type="dxa"/>
            <w:vAlign w:val="bottom"/>
            <w:gridSpan w:val="18"/>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64</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9C. Disclosure Regarding Foreign Jurisdictions that Prevent Inspections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64</w:t>
            </w: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right w:val="single" w:sz="8" w:color="CCEEFF"/>
            </w:tcBorders>
            <w:shd w:val="clear" w:color="auto" w:fill="CCEEFF"/>
          </w:tcPr>
          <w:p>
            <w:pPr>
              <w:spacing w:after="0"/>
              <w:rPr>
                <w:sz w:val="14"/>
                <w:szCs w:val="14"/>
                <w:color w:val="auto"/>
              </w:rPr>
            </w:pPr>
          </w:p>
        </w:tc>
        <w:tc>
          <w:tcPr>
            <w:tcW w:w="12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38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III</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35"/>
        </w:trPr>
        <w:tc>
          <w:tcPr>
            <w:tcW w:w="3820" w:type="dxa"/>
            <w:vAlign w:val="bottom"/>
            <w:gridSpan w:val="22"/>
          </w:tcPr>
          <w:p>
            <w:pPr>
              <w:spacing w:after="0" w:line="135" w:lineRule="exact"/>
              <w:rPr>
                <w:sz w:val="20"/>
                <w:szCs w:val="20"/>
                <w:color w:val="auto"/>
              </w:rPr>
            </w:pPr>
            <w:r>
              <w:rPr>
                <w:rFonts w:ascii="Times New Roman" w:cs="Times New Roman" w:eastAsia="Times New Roman" w:hAnsi="Times New Roman"/>
                <w:sz w:val="14"/>
                <w:szCs w:val="14"/>
                <w:color w:val="0000EE"/>
              </w:rPr>
              <w:t>Item 10. Directors, Executive Officers, and Corporate Governance</w:t>
            </w:r>
          </w:p>
        </w:tc>
        <w:tc>
          <w:tcPr>
            <w:tcW w:w="6720" w:type="dxa"/>
            <w:vAlign w:val="bottom"/>
            <w:gridSpan w:val="10"/>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64</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382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11. Executive Compensation</w:t>
            </w:r>
          </w:p>
        </w:tc>
        <w:tc>
          <w:tcPr>
            <w:tcW w:w="6720" w:type="dxa"/>
            <w:vAlign w:val="bottom"/>
            <w:gridSpan w:val="10"/>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64</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CCEEFF"/>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12. Security Ownership of Certain Beneficial Owners and Management and Related Stockholder Matters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64</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634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13. Certain Relationships and Related Transactions, and Director Independence</w:t>
            </w:r>
          </w:p>
        </w:tc>
        <w:tc>
          <w:tcPr>
            <w:tcW w:w="4200" w:type="dxa"/>
            <w:vAlign w:val="bottom"/>
            <w:gridSpan w:val="2"/>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64</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42"/>
        </w:trPr>
        <w:tc>
          <w:tcPr>
            <w:tcW w:w="4860" w:type="dxa"/>
            <w:vAlign w:val="bottom"/>
            <w:gridSpan w:val="25"/>
          </w:tcPr>
          <w:p>
            <w:pPr>
              <w:spacing w:after="0" w:line="135" w:lineRule="exact"/>
              <w:rPr>
                <w:sz w:val="20"/>
                <w:szCs w:val="20"/>
                <w:color w:val="auto"/>
              </w:rPr>
            </w:pPr>
            <w:r>
              <w:rPr>
                <w:rFonts w:ascii="Times New Roman" w:cs="Times New Roman" w:eastAsia="Times New Roman" w:hAnsi="Times New Roman"/>
                <w:sz w:val="14"/>
                <w:szCs w:val="14"/>
                <w:color w:val="0000EE"/>
              </w:rPr>
              <w:t>Item 14. Principal Accounting Fees and Services</w:t>
            </w:r>
          </w:p>
        </w:tc>
        <w:tc>
          <w:tcPr>
            <w:tcW w:w="5680" w:type="dxa"/>
            <w:vAlign w:val="bottom"/>
            <w:gridSpan w:val="7"/>
          </w:tcPr>
          <w:p>
            <w:pPr>
              <w:spacing w:after="0"/>
              <w:rPr>
                <w:sz w:val="12"/>
                <w:szCs w:val="12"/>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64</w:t>
            </w: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right w:val="single" w:sz="8" w:color="CCEEFF"/>
            </w:tcBorders>
            <w:shd w:val="clear" w:color="auto" w:fill="CCEEFF"/>
          </w:tcPr>
          <w:p>
            <w:pPr>
              <w:spacing w:after="0"/>
              <w:rPr>
                <w:sz w:val="14"/>
                <w:szCs w:val="14"/>
                <w:color w:val="auto"/>
              </w:rPr>
            </w:pPr>
          </w:p>
        </w:tc>
        <w:tc>
          <w:tcPr>
            <w:tcW w:w="12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IV</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15. Exhibits, Financial Statement Schedules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65</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42"/>
        </w:trPr>
        <w:tc>
          <w:tcPr>
            <w:tcW w:w="2820" w:type="dxa"/>
            <w:vAlign w:val="bottom"/>
            <w:tcBorders>
              <w:right w:val="single" w:sz="8" w:color="CCEEFF"/>
            </w:tcBorders>
            <w:gridSpan w:val="1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16. Form 10-K Summary</w:t>
            </w:r>
          </w:p>
        </w:tc>
        <w:tc>
          <w:tcPr>
            <w:tcW w:w="7720" w:type="dxa"/>
            <w:vAlign w:val="bottom"/>
            <w:gridSpan w:val="14"/>
            <w:shd w:val="clear" w:color="auto" w:fill="CCEEFF"/>
          </w:tcPr>
          <w:p>
            <w:pPr>
              <w:spacing w:after="0"/>
              <w:rPr>
                <w:sz w:val="12"/>
                <w:szCs w:val="12"/>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68</w:t>
            </w: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6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42"/>
        </w:trPr>
        <w:tc>
          <w:tcPr>
            <w:tcW w:w="10540" w:type="dxa"/>
            <w:vAlign w:val="bottom"/>
            <w:gridSpan w:val="3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SIGNATURES</w:t>
            </w: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69</w:t>
            </w: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6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62"/>
        </w:trPr>
        <w:tc>
          <w:tcPr>
            <w:tcW w:w="1054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Report of Independent Registered Public Accounting Firm</w:t>
            </w:r>
          </w:p>
        </w:tc>
        <w:tc>
          <w:tcPr>
            <w:tcW w:w="100" w:type="dxa"/>
            <w:vAlign w:val="bottom"/>
          </w:tcPr>
          <w:p>
            <w:pPr>
              <w:spacing w:after="0"/>
              <w:rPr>
                <w:sz w:val="11"/>
                <w:szCs w:val="11"/>
                <w:color w:val="auto"/>
              </w:rPr>
            </w:pPr>
          </w:p>
        </w:tc>
        <w:tc>
          <w:tcPr>
            <w:tcW w:w="66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w w:val="71"/>
              </w:rPr>
              <w:t>F-2</w:t>
            </w: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42"/>
        </w:trPr>
        <w:tc>
          <w:tcPr>
            <w:tcW w:w="3740" w:type="dxa"/>
            <w:vAlign w:val="bottom"/>
            <w:tcBorders>
              <w:bottom w:val="single" w:sz="8" w:color="0000EE"/>
            </w:tcBorders>
            <w:gridSpan w:val="2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Balance Sheets as of December 31, 2024 and 2023</w:t>
            </w:r>
          </w:p>
        </w:tc>
        <w:tc>
          <w:tcPr>
            <w:tcW w:w="6800" w:type="dxa"/>
            <w:vAlign w:val="bottom"/>
            <w:tcBorders>
              <w:bottom w:val="single" w:sz="8" w:color="CCEEFF"/>
            </w:tcBorders>
            <w:gridSpan w:val="11"/>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0000EE"/>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F-4</w:t>
            </w: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42"/>
        </w:trPr>
        <w:tc>
          <w:tcPr>
            <w:tcW w:w="5520" w:type="dxa"/>
            <w:vAlign w:val="bottom"/>
            <w:tcBorders>
              <w:bottom w:val="single" w:sz="8" w:color="0000EE"/>
            </w:tcBorders>
            <w:gridSpan w:val="26"/>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Operations for the years ended December 31, 2024, 2023, and 2022</w:t>
            </w:r>
          </w:p>
        </w:tc>
        <w:tc>
          <w:tcPr>
            <w:tcW w:w="5020" w:type="dxa"/>
            <w:vAlign w:val="bottom"/>
            <w:gridSpan w:val="6"/>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F-6</w:t>
            </w:r>
          </w:p>
        </w:tc>
        <w:tc>
          <w:tcPr>
            <w:tcW w:w="560" w:type="dxa"/>
            <w:vAlign w:val="bottom"/>
          </w:tcPr>
          <w:p>
            <w:pPr>
              <w:spacing w:after="0"/>
              <w:rPr>
                <w:sz w:val="12"/>
                <w:szCs w:val="12"/>
                <w:color w:val="auto"/>
              </w:rPr>
            </w:pPr>
          </w:p>
        </w:tc>
      </w:tr>
      <w:tr>
        <w:trPr>
          <w:trHeight w:val="142"/>
        </w:trPr>
        <w:tc>
          <w:tcPr>
            <w:tcW w:w="6260" w:type="dxa"/>
            <w:vAlign w:val="bottom"/>
            <w:tcBorders>
              <w:bottom w:val="single" w:sz="8" w:color="0000EE"/>
            </w:tcBorders>
            <w:gridSpan w:val="2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Comprehensive Income for the years ended December 31, 2024, 2023, and 2022</w:t>
            </w:r>
          </w:p>
        </w:tc>
        <w:tc>
          <w:tcPr>
            <w:tcW w:w="4280" w:type="dxa"/>
            <w:vAlign w:val="bottom"/>
            <w:tcBorders>
              <w:bottom w:val="single" w:sz="8" w:color="CCEEFF"/>
            </w:tcBorders>
            <w:gridSpan w:val="3"/>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0000EE"/>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F-7</w:t>
            </w: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42"/>
        </w:trPr>
        <w:tc>
          <w:tcPr>
            <w:tcW w:w="5600" w:type="dxa"/>
            <w:vAlign w:val="bottom"/>
            <w:tcBorders>
              <w:bottom w:val="single" w:sz="8" w:color="0000EE"/>
            </w:tcBorders>
            <w:gridSpan w:val="27"/>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2024, 2023, and 2022</w:t>
            </w:r>
          </w:p>
        </w:tc>
        <w:tc>
          <w:tcPr>
            <w:tcW w:w="49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F-8</w:t>
            </w:r>
          </w:p>
        </w:tc>
        <w:tc>
          <w:tcPr>
            <w:tcW w:w="560" w:type="dxa"/>
            <w:vAlign w:val="bottom"/>
          </w:tcPr>
          <w:p>
            <w:pPr>
              <w:spacing w:after="0"/>
              <w:rPr>
                <w:sz w:val="12"/>
                <w:szCs w:val="12"/>
                <w:color w:val="auto"/>
              </w:rPr>
            </w:pPr>
          </w:p>
        </w:tc>
      </w:tr>
      <w:tr>
        <w:trPr>
          <w:trHeight w:val="142"/>
        </w:trPr>
        <w:tc>
          <w:tcPr>
            <w:tcW w:w="6140" w:type="dxa"/>
            <w:vAlign w:val="bottom"/>
            <w:tcBorders>
              <w:bottom w:val="single" w:sz="8" w:color="0000EE"/>
            </w:tcBorders>
            <w:gridSpan w:val="2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Stockholders’ Equity for the years ended December 31, 2024, 2023, and 2022</w:t>
            </w:r>
          </w:p>
        </w:tc>
        <w:tc>
          <w:tcPr>
            <w:tcW w:w="4400" w:type="dxa"/>
            <w:vAlign w:val="bottom"/>
            <w:tcBorders>
              <w:bottom w:val="single" w:sz="8" w:color="CCEEFF"/>
            </w:tcBorders>
            <w:gridSpan w:val="4"/>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0000EE"/>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F-9</w:t>
            </w: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760" w:type="dxa"/>
            <w:vAlign w:val="bottom"/>
            <w:gridSpan w:val="3"/>
          </w:tcPr>
          <w:p>
            <w:pPr>
              <w:jc w:val="center"/>
              <w:ind w:right="500"/>
              <w:spacing w:after="0" w:line="135" w:lineRule="exact"/>
              <w:rPr>
                <w:sz w:val="20"/>
                <w:szCs w:val="20"/>
                <w:color w:val="auto"/>
              </w:rPr>
            </w:pPr>
            <w:r>
              <w:rPr>
                <w:rFonts w:ascii="Times New Roman" w:cs="Times New Roman" w:eastAsia="Times New Roman" w:hAnsi="Times New Roman"/>
                <w:sz w:val="14"/>
                <w:szCs w:val="14"/>
                <w:color w:val="0000EE"/>
                <w:w w:val="98"/>
              </w:rPr>
              <w:t>F-10</w:t>
            </w:r>
          </w:p>
        </w:tc>
      </w:tr>
      <w:tr>
        <w:trPr>
          <w:trHeight w:val="421"/>
        </w:trPr>
        <w:tc>
          <w:tcPr>
            <w:tcW w:w="2720" w:type="dxa"/>
            <w:vAlign w:val="bottom"/>
            <w:tcBorders>
              <w:top w:val="single" w:sz="8" w:color="0000EE"/>
            </w:tcBorders>
            <w:gridSpan w:val="17"/>
          </w:tcPr>
          <w:p>
            <w:pPr>
              <w:spacing w:after="0"/>
              <w:rPr>
                <w:sz w:val="24"/>
                <w:szCs w:val="24"/>
                <w:color w:val="auto"/>
              </w:rPr>
            </w:pPr>
          </w:p>
        </w:tc>
        <w:tc>
          <w:tcPr>
            <w:tcW w:w="3420" w:type="dxa"/>
            <w:vAlign w:val="bottom"/>
            <w:gridSpan w:val="11"/>
          </w:tcPr>
          <w:p>
            <w:pPr>
              <w:jc w:val="right"/>
              <w:ind w:right="46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w:t>
      </w:r>
    </w:p>
    <w:p>
      <w:pPr>
        <w:spacing w:after="0" w:line="14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1.</w:t>
      </w:r>
      <w:r>
        <w:rPr>
          <w:sz w:val="20"/>
          <w:szCs w:val="20"/>
          <w:color w:val="auto"/>
        </w:rPr>
        <w:tab/>
      </w:r>
      <w:r>
        <w:rPr>
          <w:rFonts w:ascii="Times New Roman" w:cs="Times New Roman" w:eastAsia="Times New Roman" w:hAnsi="Times New Roman"/>
          <w:sz w:val="14"/>
          <w:szCs w:val="14"/>
          <w:b w:val="1"/>
          <w:bCs w:val="1"/>
          <w:u w:val="single" w:color="auto"/>
          <w:color w:val="auto"/>
        </w:rPr>
        <w:t>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Vishay Intertechnology, Inc. (“Vishay,” the “Company,” “we,” “us,” or “our”) manufactures one of the world’s largest portfolios of discrete semiconductors and passive electronic components that support innovative designs in the automotive, industrial, computing, consumer, telecommunications, military, aerospace, and medical markets. Serving customers worldwide, Vishay brands itself as </w:t>
      </w:r>
      <w:r>
        <w:rPr>
          <w:rFonts w:ascii="Times New Roman" w:cs="Times New Roman" w:eastAsia="Times New Roman" w:hAnsi="Times New Roman"/>
          <w:sz w:val="14"/>
          <w:szCs w:val="14"/>
          <w:b w:val="1"/>
          <w:bCs w:val="1"/>
          <w:color w:val="auto"/>
        </w:rPr>
        <w:t>The DNA of tech</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Semiconductors include MOSFETs, diodes, and optoelectronic components. Passive components include resistors, inductors, and capacitors. Our semiconductor components are used for a wide variety of functions, including power control, power conversion, power management, signal switching, signal routing, signal blocking, signal amplification, two-way data transfer, one-way remote control, and circuit isolation. Our passive components are used to restrict current flow, suppress voltage increases, store and discharge energy, control alternating current (“AC”) and voltage, filter out unwanted electrical signals, and perform other functions.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Vishay Story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over six decades we have been building what we call </w:t>
      </w:r>
      <w:r>
        <w:rPr>
          <w:rFonts w:ascii="Times New Roman" w:cs="Times New Roman" w:eastAsia="Times New Roman" w:hAnsi="Times New Roman"/>
          <w:sz w:val="14"/>
          <w:szCs w:val="14"/>
          <w:b w:val="1"/>
          <w:bCs w:val="1"/>
          <w:color w:val="auto"/>
        </w:rPr>
        <w:t>The DNA of tech.</w:t>
      </w:r>
      <w:r>
        <w:rPr>
          <w:rFonts w:ascii="Times New Roman" w:cs="Times New Roman" w:eastAsia="Times New Roman" w:hAnsi="Times New Roman"/>
          <w:sz w:val="23"/>
          <w:szCs w:val="23"/>
          <w:b w:val="1"/>
          <w:bCs w:val="1"/>
          <w:color w:val="auto"/>
          <w:vertAlign w:val="superscript"/>
        </w:rPr>
        <w:t>TM</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Vishay journey began with one man, the late Dr. Felix Zandman, and a revolutionary technology. In the 1950’s, Dr. Felix Zandman was issued patents for his PhotoStress® coatings and instruments, used to reveal and measure the distribution of stresses in structures such as airplanes and cars under live load conditions. His research in this area led him to develop Bulk Metal® foil resistors – ultra-precise, ultra-stable resistors with performance exceeding any other resistor available to date.</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1962, Dr. Zandman, with a loan from the late Alfred P. Slaner, founded Vishay to develop and manufacture Bulk Metal foil resistors. Concurrently, J.E. Starr developed foil resistance strain gages, which also became part of Vishay. Throughout the 1960’s and 1970’s, Vishay established itself as a technical and market leader in foil resistors, PhotoStress products, and strain gages.</w:t>
      </w:r>
    </w:p>
    <w:p>
      <w:pPr>
        <w:spacing w:after="0" w:line="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 xml:space="preserve">From that beginning, we grew and strengthened our business both organically and through strategic passive component acquisitions beginning in 1985 and semiconductor acquisitions beginning in the late 1990’s. From discrete semiconductors to passive components; from the smallest diode to the most powerful capacitor, Vishay manufactures a breadth of products which we call </w:t>
      </w:r>
      <w:r>
        <w:rPr>
          <w:rFonts w:ascii="Times New Roman" w:cs="Times New Roman" w:eastAsia="Times New Roman" w:hAnsi="Times New Roman"/>
          <w:sz w:val="14"/>
          <w:szCs w:val="14"/>
          <w:b w:val="1"/>
          <w:bCs w:val="1"/>
          <w:color w:val="auto"/>
        </w:rPr>
        <w:t>The DNA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 tech.™</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Through R&amp;D, manufacturing, engineering, quality, sales and marketing, we generate a variety of components that support inventors and innovators creating new generations of products spanning many sectors: automotive, industrial, computing, consumer, telecommunications, military, aerospace, and medical.</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Together with major manufacturers of electronic products worldwide, we are supporting next level automation in multiple areas, including factories, the electrification of the automobile, 5G network technology, artificial intelligence ("A.I."), and the rapid expansion of connectivity across everything (IoT).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continue to implement Dr. Zandman’s vision, strategy, and culture as we work tirelessly to enhance value for our stockholders.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Vishay was incorporated in Delaware in 1962 and maintains its principal executive offices at 63 Lancaster Avenue, Malvern, Pennsylvania 19355-2143. Our telephone number is (610) 644-1300.</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Technology Leader</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As industry evolves, </w:t>
      </w:r>
      <w:r>
        <w:rPr>
          <w:rFonts w:ascii="Times New Roman" w:cs="Times New Roman" w:eastAsia="Times New Roman" w:hAnsi="Times New Roman"/>
          <w:sz w:val="14"/>
          <w:szCs w:val="14"/>
          <w:b w:val="1"/>
          <w:bCs w:val="1"/>
          <w:color w:val="auto"/>
        </w:rPr>
        <w:t>The DNA of tech™</w:t>
      </w:r>
      <w:r>
        <w:rPr>
          <w:rFonts w:ascii="Times New Roman" w:cs="Times New Roman" w:eastAsia="Times New Roman" w:hAnsi="Times New Roman"/>
          <w:sz w:val="14"/>
          <w:szCs w:val="14"/>
          <w:color w:val="auto"/>
        </w:rPr>
        <w:t xml:space="preserve"> evolves. We were founded based on the inventions of Dr. Felix Zandman and we continue to emphasize technological innovation as a driver of growth. Many of our products and manufacturing techniques, technologies, and packaging methods have been invented, designed, and developed by Dr. Zandman, our engineers, and our scientists. Our components today are smaller, faster, and more reliable than in the past, helping our customers to be more inventive and evolve their businesses. Our components are used by virtually all major manufacturers of electronic products worldwide in the automotive, industrial, computing, consumer, telecommunications, military and aerospace, and medical markets. They are found inside products and systems used every day, from automobiles to airplanes, power grids, phones, and pacemakers. We are currently a worldwide technology and market leader in wirewound and other power resistors, leaded film resistors, thin film SMD resistors, power inductors, wet and conformal-coated tantalum capacitors, capacitors for power electronics, power rectifiers, low-voltage power MOSFETs, and infrared components.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Provides Customer-Driven Growth Solutions</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maintain strategically placed application and product support centers where proximity to customers and our manufacturing locations enables us to more easily gauge and satisfy the needs of local markets. The breadth of our product portfolio along with the proximity of our field application engineers to customers provides increased opportunities to have our components selected and designed into new end products by customers in all relevant market segments. We also maintain research and development personnel and promote programs at a number of our production facilities to develop new products and new applications of existing products, and to improve manufacturing processes and technologies. We are engaging with customers to better understand their technical product needs and developing reference designs to meet their needs using the breadth of our product portfolio. We plan to grow our business and increase earnings per share, in part, through accelerating the development of new products and technologies and increasing design-in opportunities by expanding our technical resources for providing solutions to customers.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Excellence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a leading manufacturer in our industry, with a broad product portfolio, access to a wide range of end markets and sales channels, and geographic diversity. We have solid, well-established relationships with our customers and strong distribution channels. Our senior management team is highly experienced, with deep industry knowledge. Over the past two decades, our management team has successfully restructured our company and integrated several acquisitions. We can adapt our operations to changing economic conditions, as demonstrated by our ability to remain profitable and generate cash through the volatile economic cycle of the recent past.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Broad Market Penetration</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have one of the broadest product lines of discrete semiconductors and passive components among our competitors. Our broad product portfolio allows us to penetrate markets in all industry segments and all regions, which reduces our exposure to a particular end market or geographic location. We plan to grow our business and increase earnings per share, in part, through improving market penetration by expanding manufacturing facilities for our most successful products, increasing technical resources, and developing markets for specialty products in Asia. Over the next few years, we expect to experience higher growth rates than over the last decade. This expectation is based upon accelerated electrification, such as factory automation, electrical vehicles, A.I., and 5G infrastructure. We are investing to expand internal and external capacity to meet customers' expected increased demand. See Note 15 to our consolidated financial statements for net revenues by region and end market.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Track Record of Growth through Acquisitions</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Since 1985, we have expanded our product line through various strategic acquisitions, growing from a small manufacturer of precision resistors and resistance strain gages to one of the world’s largest manufacturers and suppliers of a broad line of electronic components. We have successfully integrated the acquired companies within our existing management and operational structure, reducing selling, general, and administrative expenses through the integration or elimination of redundant sales and administrative functions, creating manufacturing synergies, while improving customer service. We plan to grow our business and increase earnings per share, in part, through targeted acquisitions. We have often targeted high margin niche business acquisitions. We also target strategic acquisitions of businesses with technology and engineering capabilities that we can further develop and commercialize to grow our business and key niche suppliers that allow us to vertically integrate our supply chain.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Free Cash Flow Generation</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refer to the amount of cash generated from operations in excess of our capital expenditure needs and net of proceeds from the sale of assets as “free cash” (see "Overview" included in Item 7, “Management’s Discussion and Analysis of Financial Condition and Results of Operations” for "free cash" definition and reconciliation to generally accepted accounting principles ("GAAP")). Due to our strong operational management, cost control measures, efficient capital expenditures, broad product portfolio, and strong market position, we have historically generated strong “free cash.” Our aggressive capital expenditure plans for 2023 - 2025 have and will negatively impact our "free cash" generation over that time frame, after which we expect to generate increasingly higher levels of free cash.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Strength and Flexibility</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Over the past few years, we have been deploying our accumulated cash to expand our manufacturing capacity for the future. We believe our strong cash position and available revolving credit facility provide financial strength and flexibility and reduce our exposure to future economic uncertainties.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Our Key Challenges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Environment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business and operating results have been and will continue to be impacted by the global economy and the local economies in which our customers operate. Our revenues are dependent on end markets that are impacted by fluctuating consumer and industrial demand, and our operating results can be adversely affected by reduced demand in those markets.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is highly competitive worldwide, with low transportation costs and few import barriers. Our major competitors, some of which are larger than us, have significant financial resources and technological capabilities. To continue to grow our business successfully, we need to continually develop, introduce, and market new and innovative products, modify existing products, respond to technological change, and customize certain products to meet customer requirements.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Continuous Innovation and Protection of Intellectual Property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compete effectively with other companies depends, in part, on our ability to maintain the proprietary nature of our technology. Although we have been awarded, have filed applications for, or have licenses to use numerous patents in the United States and other countries, there can be no assurance concerning the degree of protection afforded by these patents or the likelihood that pending patents will be issued.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Continuing to Grow through Acquisitions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long-term historical growth in revenues and net earnings has resulted in large part from our strategy of growth through acquisitions. For this strategy to remain successful, we need to continue to identify attractive and available acquisition candidates, complete acquisitions on favorable terms, and integrate new businesses, manufacturing processes, employees, and logistical arrangements into our existing management and operating infrastructure.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Chain Disruption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our products is reliant on a complex global interconnected supply chain of vendors, manufacturing facilities, third-party contractors, shipping partners, distributors, and end market customers. Our production and results of operations can be negatively impacted by disruptions to any part of the supply chain, many of which are beyond our control. We remain cognizant of these challenges and seek to minimize their effects whenever possible. For a more detailed discussion, see "Supply Chain" below.</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a more detailed discussion of the risks and uncertainties inherent in our business, which could materially and adversely affect our business, results of operations or financial condition, see “Risk Factors” in Item 1A.</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Key Business Strategies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have entered into a new era at Vishay that focuses on being a customer first, business-minded company that is designed to drive profitable growth, which we are calling Vishay 3.0. We have identified eight strategic levers to achieve our goals: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Capacity Expansion</w:t>
      </w:r>
    </w:p>
    <w:p>
      <w:pPr>
        <w:spacing w:after="0" w:line="14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Over the next few years, we expect to experience higher growth rates than over the last decade. This expectation is based upon accelerated electrification, such as factory automation, electrical vehicles, A.I., and 5G infrastructure. We are investing in additional capital expenditures to expand key product lines to increase internal capacity and meet customers' needs. These projects include the Newport wafer fab; a new site in Mexico for power inductors and non-linear resistors; a resistor manufacturing expansion in Mexico; expanded 8" diode manufacturing in Taiwan and Turin, Italy; and the new MOSFET 12” fab in Itzehoe, Germany.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External Capacity Expansion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expanding our external capacity, engaging in developing partnerships with subcontractors to outsource production of some commodity products to create incremental capacity for our higher growth and higher return products. Each reportable segment is evaluating subcontractors, including supporting front-end capacities for our semiconductor segments. We maintain significant production facilities in those regions where we market the bulk of our products to reduce lead times and enhance the service and responsiveness that we provide our customers.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Optimizing Global Manufacturing Footprint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evaluating our global manufacturing footprint and began taking steps to optimize it by announcing the closure of three manufacturing sites as part of the restructuring actions that were announced in September 2024. See additional information in Note 3 to our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Increased Technical Headcount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part of our plan to foster intensified internal growth, we are focusing on increasing our technical resources, adding additional customer-facing engineers, and intensifying our activities in R&amp;D. We plan to continue to use our R&amp;D, engineering, and product marketing resources to continually roll out new and innovative products. We have seen and will continue to see an increase in operating expenses over the next couple of years as we add these engineering talents.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Enhanced Channel Management</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aim to further strengthen our relationships with customers and strategic partners by understanding customers' technical needs and providing broad product lines that allow us to provide “one-stop shop” service, whereby they can streamline their design and purchasing processes by ordering multiple types of products from Vishay. Our investments in internal and external capacity expansion allow us to provide customers with a continuous supply of products and assure them that we have capacity to scale when needed. By increasing our capacity and capabilities, we are also enhancing our ability to support all the business channels, while maximizing the profitability of each one through a focus on higher margin customers. We are providing greater technical support and engaging with customers’ in-house design engineers through our expanding field application engineers staff. We maintain significant production facilities in those regions where we market the bulk of our products to reduce lead times and enhance the service and responsiveness that we provide to our customers. Our acquisition and R&amp;D activities are broadening our product offerings and allowing us to expand the portfolio of products we sell to catalogue distributors.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Innovation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react to changing customer needs and industry trends will continue to be key to our success. We intend to leverage our insights into customer demand to continually develop new innovative products within our existing lines and to modify our existing core products to make them more appealing, addressing changing customer needs and industry trends. We are directing increased funding and are focusing on developing products to capitalize on the mega trends of electrification, data storage, and wireless communications that are critical to our future success.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Vishay Solutions</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Another area of focus is our introduction of solution selling, speaking to customer engineers about applications, and the performance improvement that Vishay components can bring from the full array of our portfolio. Customer engineers look for suppliers who can provide solutions to advance their technologies. We are developing reference designs to meet customer needs using the breadth of our product portfolio. Vishay’s semiconductors and passive components can populate greater than 80% of the components on the circuit board in many applications.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Mergers and Acquisitions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also plan to continue to expand within the electronic components industry, through the acquisition of other manufacturers of electronic components that have established positions in major markets, reputations for product innovation, quality, and reliability, strong customer bases, and product lines with which we have substantial marketing and technical expertise. It also includes certain businesses that possess technologies which we expect to further develop and commercialize, businesses that we grow using our manufacturing capabilities, capacity, and economies of scale and global customer base, and key niche suppliers that allow us to vertically integrate our supply chain.</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42"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design, manufacture, and market electronic components that cover a wide range of functions and technologies. Our products include commodity, non-commodity, and custom products in which we believe we enjoy a good reputation and strong brand recognition, including our Siliconix, Dale, Draloric, Beyschlag, Sfernice, MCB, UltraSource, Applied Thin-Film Products, IHLP®, HiRel Systems, Sprague, Vitramon, Barry, Roederstein, ESTA, BCcomponents, and Ametherm brands. We promote our ability to provide “one-stop shop” service to customers, whereby they can streamline their design and purchasing processes by ordering multiple types of products from Vishay. Our technical sales force consisting of field application engineers offers customers the complete breadth of the Vishay portfolio for their applications. We aim to use this broad portfolio to increase opportunities to have our components selected and “designed in” to new end products.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consider any product which is completely interchangeable with a competitor’s product to be a “commodity product.” Commodity products serve many markets. For 2024, commodity products comprised 27% of our revenues.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consider products that generally are produced by a small number of competitors who have similar, but not exact, products to be "certified" products. Certified products typically have a qualification and serve a particular end-use market. For 2024, certified products comprised 49% of our revenues.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also sell several custom products. Usually, a custom product is designed for a specific customer, and such part number is sold to only that customer. For 2024, custom products comprised 24% of our revenues.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evaluate our level of product innovation by measuring how much of our revenue is derived from products developed in the previous five years. Products for certain end-use markets, particularly the automotive market, tend to have longer product life cycles, which may impact these metrics. Approximately 30% of our annual revenues are generated by products that were developed in the previous five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Segments</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Our products can be divided into two general classes: semiconductors and passive components. Semiconductors are sometimes referred to as “active components” because they require power to function whereas passive components do not require power to function. Our semiconductor and passive components products are further categorized based on their functionality for financial reporting purposes.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5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i w:val="1"/>
          <w:iCs w:val="1"/>
          <w:color w:val="auto"/>
        </w:rPr>
        <w:t>Semiconductors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semiconductor products include metal oxide semiconductor field-effect transistors ("MOSFETs"), diodes, and optoelectronic components. Semiconductors are typically used to perform functions such as switching, amplifying, rectifying, routing, or transmitting electrical signals, power conversion, and power management.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MOSFETs Segment</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MOSFETs function as solid state switches to control power. Our MOSFETs business includes both the commodity and non-commodity markets in which we believe that we enjoy a good reputation and strong brand recognition (Siliconix). MOSFETs applications include mobile phones, notebook and desktop computers, tablet computers, digital cameras, televisions, DC/DC and AC/DC switch mode power supplies, solar inverters, automotive and industrial systems. We are a leader in low-voltage TrenchFET MOSFETs and also offer high-voltage MOSFETs. Our MOSFETs product line includes low- and medium-voltage TrenchFET MOSFETs, high-voltage planar MOSFETs, high voltage Super Junction MOSFETs, power integrated circuits (power ICs), and integrated function power devices. We are one of the technology leaders in MOSFETs, with a tradition of innovation in wafer design, packaging, and performance. Our acquisition of MaxPower Semiconductor, Inc. ("MaxPower") adds leading edge silicon and silicon carbide technology to our MOSFETs product line. Our acquisition of Nexperia's Newport fab on March 5, 2024 will enhance the manufacturing capacity and capabilities of our MOSFETs segment.</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2024, commodity products comprised 37% of our annual MOSFETs segment revenues. Certified products comprised 47% of our annual MOSFETs segment revenues. Custom products comprised 16% of our annual MOSFETs segment revenues. Approximately 35% of our annual MOSFETs segment revenues were generated by products that were developed in the previous five years.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Diodes Segment</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Diodes route, regulate, and block radio frequency, analog, and power signals; protect systems from surges or electrostatic discharge damage; or provide electromagnetic interference filtering. Our Diodes business has a strong market presence in both the commodity and non-commodity markets. The products that comprise our Diodes business represent our broadest product line and include rectifiers, small signal diodes, protection diodes, thyristors/SCRs and power modules. The primary application of rectifiers, found inside the power supplies of virtually all electronic equipment, is to derive DC power from the AC supply. Vishay is the worldwide leader in rectifiers, having a broad technology base and a good position in automotive, industrial, computing and consumer markets. Our rectifier innovations include TMBS® using Trench MOS barrier Schottky rectifier technology, which reduces power loss and improves the efficiency of end systems and eSMP®, the best in class high-current density surface mount packages. Our wide selection of small signal diodes consist of the following functions: switching, tuning, band-switching, RF attenuation and voltage regulation (Zener). They are available in various glass and plastic packaging options and generally are used in electronic circuits, where small currents and high frequencies are involved. Vishay is also one of the market leaders for TVS (transient voltage suppressor) diodes. The portfolio of protection diodes includes ESD protection and EMI filter. Our thyristors or SCR (silicon-controlled rectifiers) are very popular in the industrial high-voltage AC power control applications. The fast growing markets of solar inverter and HEV/EV are the focus of our power modules business (IGBT or MOSFET modules). These modules can be customized to fit in different customer design requirements.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2024, commodity products comprised 56% of our annual Diodes segment revenues. Certified products comprised 26% of our annual Diodes segment revenues. Custom products comprised 18% of our annual Diodes segment revenues. Approximately 25% of our annual Diodes segment revenues were generated by products that were developed in the previous five years.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Optoelectronic Components Segment</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Optoelectronic components emit light, detect light, or do both. Our broad range of standard and customer specific optoelectronic components includes infrared (“IR”) emitters and detectors, IR remote control receivers, optocouplers, solid-state relays, optical sensors, light-emitting diodes (“LEDs”), 7-segment displays, and IR data transceiver modules (IrDA®). Our IR remote control receivers are designed for use in infrared remote control, data transmission, and light barrier applications in end products including televisions, set-top boxes, notebook computers, and audio systems. We are the leading manufacturer of IR remote control receivers. Our optocouplers electrically isolate input and output signals. Uses include switch-mode power supplies, consumer electronics, telecommunications equipment, solar inverters, and industrial systems. Our IR data transceiver modules are used for short range, two-way, high-speed, and secure wireless data transfer between electronic devices such as home medical appliances, mobile phones, industrial data loggers, and metering. Our optical sensors products include ambient light sensors, optical encoders, integrated photodiode and I/V amplifiers, proximity sensors, color sensors, and UV sensors. Applications include telecommunications, mobile phones, smartphone, handheld devices, digital cameras, laptops, desktop computers, LED backlighting, office automation equipment, household electrical appliance and automotive electronics. Our LEDs are designed for backlighting and illumination in automotive and other applications. Our LEDs include ultra-bright as well as small surface-mount packages, with products available in all standard colors including white.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All of our Optoelectronic Components segment products are certified or custom products. Approximately 40% of our annual Optoelectronic Components segment revenues were generated by products that were developed in the previous five years.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4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Passive Components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Our passive components include resistors, inductors, and capacitors. Passive components are used to store electrical charges, to limit or resist electrical current, and to help in filtering, surge suppression, measurement, timing, and tuning applications.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Resistors Segment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Resistors impede electric current. Resistors are basic components used in all forms of electronic circuitry to adjust and regulate levels of voltage and current. Our Resistors business is our original business. We maintain the broadest portfolio of resistor products worldwide. We are a market leader with a strong technology base, many specialty products, and strong brand recognition (such as our Dale, Draloric, Beyschlag, Sfernice, and Ametherm brands). We focus on higher value markets in specialized industries, while maintaining a complete portfolio of commodity products. We do not aim to be the volume leader in commodity markets.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Resistors vary widely in precision and cost, and are manufactured from numerous materials and in many forms. Linear resistive components are classified as variable or fixed, depending on whether or not their resistance is adjustable. Non-linear resistors function by varying in resistance under influence of temperature (thermistors) or voltage (varistors). They can be used in temperature-measuring applications or as current or voltage-limiting devices. We manufacture virtually all types of fixed resistors, both in discrete and network forms, as well as many variable types.</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resistor innovations include Power Metal Strip® technology. These resistors feature very low resistance and are used to measure changes in current flow (current sensing) or divert current flow (shunting).</w:t>
      </w:r>
    </w:p>
    <w:p>
      <w:pPr>
        <w:spacing w:after="0" w:line="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2024, commodity products comprised 16% of our annual Resistors segment revenues. Certified products comprised 52% of our annual Resistors segment revenues. Custom products comprised 32% of our annual Resistors segment revenues. Approximately 20% of our annual Resistors segment revenues were generated by products that were developed in the previous five years.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Inductors Segment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Inductors also impede electric current. Inductors use an internal magnetic field to change alternating current phase and resist alternating current. While part of our traditional business, the inductors product line has grown significantly in recent years. We are a market leader with a strong technology base, many specialty products, and strong name recognition (such as our IHLP® and HiRel Systems brands). We focus on higher value markets in specialized industries, such as the industrial, automotive, military, and medical end markets.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Inductor applications include controlling AC current and voltage, filtering out unwanted electrical signals, and energy storage. Vishay inductor innovations include our patented IHLP low-profile, high-current inductor technology with industry-leading specifications. Our low-profile, high-current inductors save circuit board space and power in voltage regulator module (“VRM”) and DC to DC converter applications. In addition, we are a worldwide leader in custom magnetic solutions focusing on high performance and high reliability.</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Substantially all of our Inductors segment products are certified or custom products. Approximately 20% of our annual Inductors segment revenues were generated by products that were developed in the previous five years.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Capacitors Segment</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Capacitors store energy and discharge it when needed. Our Capacitors business consists of a broad range of reliable, high-quality products. We have a strong presence worldwide in specialty markets based on our product performance and reliability and strong brand recognition (including our Sprague, Vitramon, Roederstein, BCcomponents, and ESTA brands). We focus on higher value markets in specialized industries, while maintaining a complete portfolio of commodity products. We do not aim to be the volume leader in commodity markets. Capacitors are used in almost all electronic circuits. They store energy and discharge it when needed. Important applications for capacitors include electronic filtering for linear and switching power supplies; decoupling and bypass of electronic signals for integrated circuits and circuit boards; and frequency control, timing and conditioning of electronic signals for a broad range of applications.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manufacture products based on all major capacitor technologies: tantalum (molded chip tantalum, coated chip tantalum, solid through-hole tantalum, wet tantalum, and polymer), ceramic (multilayer chip and ceramic disc), film, power, heavy-current, and aluminum electrolytic. Our capacitors range from tiny surface-mount devices for hearing aids and mobile devices to large power correction capacitors used in renewable energy, heavy industry, and electrical power grids. We are a recognized technology leader in many product ranges, securing our strong position in military and medical markets, and in a wide range of industrial and automotive applications. Our wet tantalum and MicroTan™ technologies are market leaders.</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2024, commodity products comprised 23% of our annual Capacitors segment revenues. Certified products comprised 52% of our annual Capacitors segment revenues. Custom products comprised 25% of our annual Capacitors segment revenues. Approximately 35% of our annual Capacitors segment revenues were generated by products that were developed in the previous five years.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Military Qualifications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qualified certain of our products under various military specifications approved and monitored by United States government agencies, and under certain European military specifications. Qualification levels are based in part upon the rate of failure of products. In order to maintain the classification level of a product, we must continuously perform tests on the product and the results of these tests must be reported to the government agencies. If the product fails to meet the requirements for the applicable classification level, the product’s classification may be reduced to a lower level. During the time that the classification level is reduced for a product with military application, net revenues and earnings attributable to that product may be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Operations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order to better serve our customers, we maintain production facilities in locations where we market the bulk of our products, such as the United States, Germany, and Asia. To optimize production efficiencies, we have whenever practicable established manufacturing facilities in countries, such as India, Israel, Malaysia, Mexico, the People’s Republic of China, and the Philippines, where we can benefit from lower labor costs.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One of our most sophisticated manufacturing operations is the production of power semiconductor components. This manufacturing process involves two phases of production: wafer fabrication and assembly (or packaging). Wafer fabrication subjects silicon wafers to various thermal, metallurgical, and chemical process steps that change their electrical and physical properties. These process steps define cells or circuits within numerous individual devices (termed “dies” or “chips”) on each wafer. Assembly is the sequence of production steps that divides the wafer into individual chips and encloses the chips in structures (termed “packages”) that make them usable in a circuit. Both wafer fabrication and assembly phases incorporate wafer level and device level electrical testing to ensure that device design integrity has been achieved.</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In the United States, our manufacturing facilities are located in California, Connecticut, Massachusetts, Minnesota, Nebraska, Nevada, New Hampshire, New York, Rhode Island, South Dakota, Vermont, and Wisconsin. In Asia, our main manufacturing facilities are located in the People’s Republic of China, the Republic of China (Taiwan), India, and Malaysia. In Europe, our main manufacturing facilities are located in Germany, the United Kingdom, France, and the Czech Republic. We have substantial manufacturing facilities in Israel and Mexico. We also have manufacturing facilities in Austria, Dominican Republic, Japan, Hungary, Italy, Portugal, and the Philippines. Over the past several years, we have invested substantial resources to increase the efficiency of our plants, which we believe will further reduce production costs.</w:t>
      </w:r>
    </w:p>
    <w:p>
      <w:pPr>
        <w:spacing w:after="0" w:line="112" w:lineRule="exact"/>
        <w:rPr>
          <w:sz w:val="20"/>
          <w:szCs w:val="20"/>
          <w:color w:val="auto"/>
        </w:rPr>
      </w:pPr>
    </w:p>
    <w:p>
      <w:pPr>
        <w:ind w:right="160"/>
        <w:spacing w:after="0" w:line="456" w:lineRule="auto"/>
        <w:rPr>
          <w:sz w:val="20"/>
          <w:szCs w:val="20"/>
          <w:color w:val="auto"/>
        </w:rPr>
      </w:pPr>
      <w:r>
        <w:rPr>
          <w:rFonts w:ascii="Times New Roman" w:cs="Times New Roman" w:eastAsia="Times New Roman" w:hAnsi="Times New Roman"/>
          <w:sz w:val="14"/>
          <w:szCs w:val="14"/>
          <w:color w:val="auto"/>
        </w:rPr>
        <w:t xml:space="preserve">All of our manufacturing operations have received ISO 9001 certification. ISO 9001 is a comprehensive set of quality program standards developed by the International Standards Organization. </w:t>
      </w:r>
      <w:r>
        <w:rPr>
          <w:rFonts w:ascii="Times New Roman" w:cs="Times New Roman" w:eastAsia="Times New Roman" w:hAnsi="Times New Roman"/>
          <w:sz w:val="14"/>
          <w:szCs w:val="14"/>
          <w:b w:val="1"/>
          <w:bCs w:val="1"/>
          <w:color w:val="auto"/>
        </w:rPr>
        <w:t>Supply Chain</w:t>
      </w: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our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disruptions experienced in the recent years have, at times, negatively impacted our ability to manufacture products and to deliver them to customers.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most materials incorporated into our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us to temporarily cease or reduce production or incur additional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Many of the metals used in the manufacture of our products, including gold, copper, and palladium, are traded on active markets and can be subject to significant price volatility. To ensure adequate supply and to provide cost certainty, our policy is to enter into short-term commitments to purchase defined portions of annual consumption of the raw materials utilized if market prices decline below budget. If after entering into these commitments, the market prices for these raw materials decline, we must recognize losses on these adverse purchase commitments. In certain circumstances, we also purchase precious metals bullion in excess of our immediate manufacturing needs to mitigate the risk of supply shortages or volatile price fluctuations.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production can be disrupted by the unavailability of resources, such as water, energy, and gases. The unavailability or reduced availability of these resources could require us to reduce production or incur additional costs.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use third-party foundries and subcontractors for certain of our manufacturing activities, primarily wafer fabrication, the assembly and testing of finished goods, and the manufacturing of certain commodity products. Establishing third-party contract manufacturer relationships can be time consuming and costly, and the number of qualified providers is limited. Our agreements with these manufacturers typically require us to commit to purchase services based on forecasted product needs, which may be inaccurate, and, in some cases, require us to recognize losses on these adverse purchase commitments. Our agreements may limit our ability to increase production, particularly during periods of growing demand for our products.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4"/>
          <w:szCs w:val="14"/>
          <w:color w:val="auto"/>
        </w:rPr>
        <w:t>Due to our global supply chain, we are impacted by global trade disputes. The governments of the U.S. and the People’s Republic of China remain in a trade dispute that has resulted in tariffs and other trade restrictions including import / export prohibitions. Disruptions to global trade could result in customers seeking different sources of product or requiring us to seek different sources of supply. New or revised trade agreements could require changes in operations in the long-term.</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remain cognizant of these supply chain challenges and seek to minimize their effects whenever possible. Despite our best efforts, there can be no assurances we will be successful in mitigating these risks.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 and Backlog</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manufacture both standardized products and those designed and produced to meet customer specifications. We maintain an inventory of standardized components and monitor the backlog of outstanding orders for our products.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include in our backlog only open orders that we expect to ship in the next twelve months. Many of our customers encounter uncertain and changing demand for their products. They typically order products from us based on their forecasts. If demand falls below customers’ forecasts, or if customers do not control their inventory effectively, they may cancel or reschedule the shipments included in our backlog, in many instances without the payment of any penalty. Therefore, our backlog at any point in time is not necessarily indicative of the results to be expected for future periods.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 and Marketing</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sell our products to original equipment manufacturers (“OEMs”), electronic manufacturing services (“EMS”) companies, which manufacture for OEMs on an outsourcing basis, and independent distributors that maintain large inventories of electronic components for resale to OEMs and EMS companies. See Note 15 to our consolidated financial statements for net revenues by customer type.</w:t>
      </w: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sales organizations are regionally based. While our sales and support procedures are typically similar across all regions, we remain flexible in our ability to offer programs tailored to our customers’ specific support requirements in each local area. The aim of our sales organizations is supporting our customers across all product lines, developing new design wins, negotiating contracts, and providing general commercial support as would normally be expected of a large multi-national sales force.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an established Strategic Global Account program, which provides each of our top customers with a dedicated Strategic Global Account Manager. Our Strategic Global Account Managers are typically highly experienced salesmen or saleswomen who are capable of providing key customers with the coordination and management visibility required in a complex multi-product business relationship. They typically coordinate the sales, pricing, contract, logistic, quality, and other aspects of the customer’s business requirements. The Strategic Global Account Manager normally is the focal point of communication between Vishay and our main customers. We maintain a similar program for our strategic distributors as well.</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work with our customers so that our products are incorporated into the design of electronic equipment at the earliest stages of development and to provide technical and applications support. In addition to our staff of direct field sales personnel, independent manufacturers’ representatives, and distributors, our Business Development group maintains teams of dedicated Field Application Engineers (“FAEs”) to assist our customers in solving technical problems and in developing products to meet specific customer application needs using our entire product portfolio to provide support for our customers’ engineering needs. Organized by market segment, our Business Development FAEs bring specific knowledge of component applications in their areas of expertise in the automotive, telecommunications, computer, consumer/entertainment, industrial, peripherals, digital consumer, and other market segments. With the ultimate goal of a Vishay “design-in” – the process by which our customers specify a Vishay component in their products – this program offers our customers enhanced access to all Vishay technologies while at the same time increasing design wins, and ultimately sales, for us. Most importantly, the process is closely monitored via a proprietary database developed by our Business Development group. Our database captures specific design activities and allows for real-time measurement of new business potential for our management team.</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top 30 customers have been relatively stable despite not having long-term commitments to purchase our products. With selected customers, we have signed longer term (greater than one year) contracts for specific products. Net revenues from our top 30 customers represent approximately 72% of our total net revenues. No single customer comprised more than 10% of our total net revenues for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certain areas we also work with sales representatives. The commission expense for these sales representatives is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our products and manufacturing techniques, technologies, and packaging methods have been invented, designed, and developed by Dr. Felix Zandman, our engineers, and our scientists. We maintain strategically placed design centers where proximity to customers enables us to more easily gauge and satisfy the needs of local markets. These design centers are located predominantly in the United States, the United Kingdom, Germany, Italy, Israel, Ireland, the People’s Republic of China, France, and the Republic of China (Taiwan).</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also employ research and development personnel and promote programs at a number of our production facilities to develop new products and new applications of existing products and to improve manufacturing processes and technologies. This decentralized system encourages product development at individual manufacturing facilities, closer to our customers.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face strong competition in various product lines from both domestic and foreign manufacturers. Our primary competitors by product type include:</w:t>
      </w:r>
    </w:p>
    <w:p>
      <w:pPr>
        <w:spacing w:after="0" w:line="143"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MOSFETs: </w:t>
      </w:r>
      <w:r>
        <w:rPr>
          <w:rFonts w:ascii="Times New Roman" w:cs="Times New Roman" w:eastAsia="Times New Roman" w:hAnsi="Times New Roman"/>
          <w:sz w:val="14"/>
          <w:szCs w:val="14"/>
          <w:color w:val="auto"/>
        </w:rPr>
        <w:t>Infineon, ON Semiconductor, Renesas, STMicroelectronics, Toshiba.</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Diodes: </w:t>
      </w:r>
      <w:r>
        <w:rPr>
          <w:rFonts w:ascii="Times New Roman" w:cs="Times New Roman" w:eastAsia="Times New Roman" w:hAnsi="Times New Roman"/>
          <w:sz w:val="14"/>
          <w:szCs w:val="14"/>
          <w:color w:val="auto"/>
        </w:rPr>
        <w:t>Diodes Inc., Nexperia, ON Semiconductor, Rohm, STMicroelectronics.</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Optoelectronic Components: </w:t>
      </w:r>
      <w:r>
        <w:rPr>
          <w:rFonts w:ascii="Times New Roman" w:cs="Times New Roman" w:eastAsia="Times New Roman" w:hAnsi="Times New Roman"/>
          <w:sz w:val="14"/>
          <w:szCs w:val="14"/>
          <w:color w:val="auto"/>
        </w:rPr>
        <w:t>Broadcom, ON Semiconductor, Renesas, Toshiba.</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Resistors: </w:t>
      </w:r>
      <w:r>
        <w:rPr>
          <w:rFonts w:ascii="Times New Roman" w:cs="Times New Roman" w:eastAsia="Times New Roman" w:hAnsi="Times New Roman"/>
          <w:sz w:val="14"/>
          <w:szCs w:val="14"/>
          <w:color w:val="auto"/>
        </w:rPr>
        <w:t>Bourns, KOA, Murata, Panasonic, Rohm, TDK-EPCOS, Yageo.</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Inductors: </w:t>
      </w:r>
      <w:r>
        <w:rPr>
          <w:rFonts w:ascii="Times New Roman" w:cs="Times New Roman" w:eastAsia="Times New Roman" w:hAnsi="Times New Roman"/>
          <w:sz w:val="14"/>
          <w:szCs w:val="14"/>
          <w:color w:val="auto"/>
        </w:rPr>
        <w:t>Bourns, Cyntec, Murata, Panasonic, Taiyo Yuden, TDK-EPCOS, Yageo.</w:t>
      </w:r>
    </w:p>
    <w:p>
      <w:pPr>
        <w:spacing w:after="0" w:line="145" w:lineRule="exact"/>
        <w:rPr>
          <w:rFonts w:ascii="Times New Roman" w:cs="Times New Roman" w:eastAsia="Times New Roman" w:hAnsi="Times New Roman"/>
          <w:sz w:val="14"/>
          <w:szCs w:val="14"/>
          <w:color w:val="auto"/>
        </w:rPr>
      </w:pPr>
    </w:p>
    <w:p>
      <w:pPr>
        <w:ind w:right="5780" w:firstLine="208"/>
        <w:spacing w:after="0" w:line="457" w:lineRule="auto"/>
        <w:tabs>
          <w:tab w:leader="none" w:pos="4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Capacitors: </w:t>
      </w:r>
      <w:r>
        <w:rPr>
          <w:rFonts w:ascii="Times New Roman" w:cs="Times New Roman" w:eastAsia="Times New Roman" w:hAnsi="Times New Roman"/>
          <w:sz w:val="14"/>
          <w:szCs w:val="14"/>
          <w:color w:val="auto"/>
        </w:rPr>
        <w:t>Kyocera, Murata, Nichicon, Panasonic, Taiyo Yuden, TDK-EPCOS, Yageo.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 are many other companies that produce products in the markets in which we compete.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competitive position depends on our ability to maintain a competitive advantage on the basis of product quality, know-how, proprietary data, market knowledge, service capability, technological innovation, business reputation, and price competitiveness. Our sales and marketing programs aim to compete by offering our customers a broad range of world-class technologies and products, superior global sales and distribution support, and a secure and multi-location source of product supply.</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There has been a considerable amount of consolidation activity in the electronic component industry, some of which involved our primary competitors. We view the industry consolidation as an opportunity for us to gain business as an independent second-source supplier.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 and Licenses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made a significant investment in securing intellectual property protection for our technology and products. We seek to protect our technology by, among other things, filing patent applications for technology considered important to the development of our business. We also rely upon trade secrets, unpatented know-how, continuing technological innovation, and the aggressive pursuit of licensing opportunities to help develop and maintain our competitive position.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compete effectively with other companies depends, in part, on our ability to maintain the proprietary nature of our technology. Although we have been awarded, have filed applications for, or have been licensed under, numerous patents in the United States and other countries, there can be no assurance concerning the degree of protection afforded by these patents or the likelihood that pending patents will be issued.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require all of our technical, research and development, sales and marketing, and management employees and most consultants and other advisors to execute confidentiality agreements upon the commencement of employment or consulting relationships with us. These agreements provide that all confidential information developed or made known to the entity or individual during the course of the entity’s or individual’s relationship with us is to be kept confidential and not disclosed to third parties except in specific circumstances. Substantially all of our technical, research and development, sales and marketing, and management employees have entered into agreements providing for the assignment to us of rights to inventions made by them while employed by us.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When we believe other companies are misappropriating our intellectual property rights, we vigorously enforce those rights through legal action, and we intend to continue to do so. See Item 3, “Legal Proceedings.”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we have numerous United States and foreign patents covering certain of our products and manufacturing processes, no particular patent is considered individually material to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As a global company, we collaborate internationally and celebrate the diversity of our local cultures.  Employees are encouraged to bring their unique perspectives, help identify opportunities to collaborate, and open themselves to the career development that comes from learning from others.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As of December 31, 2024, we employed approximately 22,700 full time employees worldwide. Reflecting our global business, our executive management team and many leadership positions are dispersed throughout the world.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Employees by location are summarized as follows: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36"/>
        </w:trPr>
        <w:tc>
          <w:tcPr>
            <w:tcW w:w="10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Taiwan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Czech Republic</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Americas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Other Asia</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20" w:type="dxa"/>
            <w:vAlign w:val="bottom"/>
          </w:tcPr>
          <w:p>
            <w:pPr>
              <w:spacing w:after="0"/>
              <w:rPr>
                <w:sz w:val="14"/>
                <w:szCs w:val="14"/>
                <w:color w:val="auto"/>
              </w:rPr>
            </w:pPr>
          </w:p>
        </w:tc>
      </w:tr>
      <w:tr>
        <w:trPr>
          <w:trHeight w:val="200"/>
        </w:trPr>
        <w:tc>
          <w:tcPr>
            <w:tcW w:w="10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22,700</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Many of our employees outside the United States are members of workers councils or unions or otherwise subject to collective bargaining agreements. Employees at one small U.S. facility, representing less than 1% of our U.S. workforce, are represented by a trade union. We consider our relations with our employees positive, fair, and equitable.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greatest assets are our employees, and our continued success depends on our ability to attract, retain, and develop high levels of talent across the organization. Each person and each role plays a critical role in our success.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continuously invests in its people through diverse training offerings, networking opportunities, and a commitment to developing life and professional skills. Employee development programs offer individual and group learning to maintain profitable business growth while increasing speed and agility.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Vishay is continuously evolving to meet or exceed customer and market demands, which requires increased collaboration and agility. We are fostering a high-performance culture in which employees are encouraged to share ideas, adopt continuous improvement practices, and work together to achieve our organizational goals. Our training and communication efforts focus on instilling a mindset of accountability and ownership.</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late 2023, we completed the first phase of implementing a global human capital management system. This system is designed to enhance communication, development, and efficient business processes for our international workforce. In 2025, we will implement additional modules to further expand our capabilities for leveraging global talent and consistently enforcing performance standards.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Throughout 2024, we continued to strengthen our internal Talent Acquisition function to effectively and promptly source key technical talent, enabling more agile resource scaling to support anticipated growth. As we redefine leadership, our organizational structure is evolving. We empower our employees by streamlining decision-making processes, which accelerates decision-making across the organization.</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September 2024, we announced restructuring actions designed to optimize our manufacturing footprint and streamline business decision making. The restructuring actions will be implemented in phases and will result in a reduction of approximately 2% of our manufacturing workforce and 6% of our SG&amp;A workforce.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Compliance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required to comply with numerous regulations that are normal and customary to businesses in our industry and the jurisdictions in which we operate. These regulations relate to, among other things, environmental health and safety, procurement integrity, export control, government security regulations, employment practices, accuracy of records and the recording of costs, anti-corruption, and privacy. See Item 1A, “Risk Factors,” for additional discussion of such regulations and the potential consequences for non-compliance.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Health and Safety</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adopted an Environmental Health and Safety Corporate Policy that commits us to achieve and maintain compliance with applicable environmental laws, to promote proper management of hazardous materials for the safety of our employees and the protection of the environment, and to minimize the hazardous materials generated in the course of our operations. This policy is implemented with accountability directly to the Board of Directors. In addition, our manufacturing operations are subject to various federal, state, and local laws restricting discharge of materials into the environment.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involved in environmental remediation programs at various sites currently or formerly owned by us and our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Item 3, “Legal Proceedings.”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not involved in any pending or threatened proceedings that would require curtailment of our operations. We continually expend funds to ensure that our facilities comply with applicable environmental regulations. While we believe that we are in material compliance with applicable environmental laws, we cannot accurately predict future developments and do not necessarily have knowledge of all past occurrences on sites that we currently occupy. More stringent environmental regulations may be enacted in the future, and we cannot determine the modifications, if any, in our operations that any such future regulations might require, or the cost of compliance with such regulations. Moreover, the risk of environmental liability and remediation costs is inherent in the nature of our business and, therefore, there can be no assurance that material environmental costs, including remediation costs, will not arise in the future.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4"/>
          <w:szCs w:val="14"/>
          <w:color w:val="auto"/>
        </w:rPr>
        <w:t>With each acquisition, we attempt to identify potential environmental concerns and to minimize, or obtain indemnification for, the environmental matters we may be required to address. In addition, we establish reserves for specifically identified potential environmental liabilities. We believe that the reserves we have established are adequate. Nevertheless, we have in the past and may in the future inherit certain pre-existing environmental liabilities, generally based on successor liability doctrines. Although we have never been involved in any environmental matter that has had a material adverse impact on our overall operations, there can be no assurance that in connection with any past or future acquisition we will not be obligated to address environmental matters that could have a material adverse impact on our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Information and Website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documents with the Securities and Exchange Commission (“SEC”) under the Securities Exchange Act of 1934. The SEC maintains an Internet website that contains reports, proxy and information statements, and other information regarding issuers, including us, that file electronically with the SEC. The public can obtain any documents that we file with the SEC at http://www.sec.gov.</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our company website can be found on the Internet at www.vishay.com. The website contains information about us and our operations. Copies of each of our filings with the SEC on Form 10-K, Form 10-Q, and Form 8-K, and all amendments to those reports, can be viewed and downloaded free of charge as soon as reasonably practicable after the reports and amendments are electronically filed with or furnished to the SEC. To view the reports, access ir.vishay.com and click on “SEC Filings.”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corporate governance related documents are also available on our website:</w:t>
      </w:r>
    </w:p>
    <w:p>
      <w:pPr>
        <w:spacing w:after="0" w:line="145" w:lineRule="exact"/>
        <w:rPr>
          <w:sz w:val="20"/>
          <w:szCs w:val="20"/>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Governance Principles</w:t>
      </w:r>
    </w:p>
    <w:p>
      <w:pPr>
        <w:spacing w:after="0" w:line="17"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of Business Conduct and Ethics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of Ethics for Financial Officers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Committee Charter</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Committee Charter</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Committee Charter</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 and Restated Executive Stock Ownership Guidelines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Stock Ownership Guidelines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Clawback Policy</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Hedging-Pledging Policy</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Committee Policy Regarding Qualifications of Directors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Party Transactions Policy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view these documents, access ir.vishay.com and click on “Corporate Governance.”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above documents can also be obtained in print by any stockholder upon request to our Investor Relations Department at the following address: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Corporate Investor Relations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63 Lancaster Avenue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Malvern, PA 19355-2143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14" w:name="page15"/>
    <w:bookmarkEnd w:id="14"/>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1A.</w:t>
      </w:r>
      <w:r>
        <w:rPr>
          <w:sz w:val="20"/>
          <w:szCs w:val="20"/>
          <w:color w:val="auto"/>
        </w:rPr>
        <w:tab/>
      </w:r>
      <w:r>
        <w:rPr>
          <w:rFonts w:ascii="Times New Roman" w:cs="Times New Roman" w:eastAsia="Times New Roman" w:hAnsi="Times New Roman"/>
          <w:sz w:val="14"/>
          <w:szCs w:val="14"/>
          <w:b w:val="1"/>
          <w:bCs w:val="1"/>
          <w:u w:val="single" w:color="auto"/>
          <w:color w:val="auto"/>
        </w:rPr>
        <w:t>RISK FACTORS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From time to time, information provided by us, including but not limited to statements in this report, or other statements made by or on our behalf, may contain “forward-looking” information within the meaning of the Private Securities Litigation Reform Act of 1995. Such statements involve a number of risks, uncertainties, and contingencies, many of which are beyond our control, which may cause actual results, performance, or achievements to differ materially from those anticipated. Set forth below are important factors that could cause our results, performance, or achievements to differ materially from those in any forward-looking statements made by us or on our behalf. You should understand that it is not possible to predict or identify all such factors. Consequently, you should not consider the following to be a complete discussion of all potential risks or uncertainties.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business is cyclical and future periods of decline and increased demand are not predictable.</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make significant decisions, including order acceptance, production schedules, personnel needs, material purchases, and other resource requirements, based on customer forecasts and estimates of customer requirements. The electronic component industry is highly cyclical and experiences periods of decline from time to time. We and others in the electronic components industry have experienced these conditions in the recent past and cannot predict when we may experience downturns in the future. If demand falls below customers' forecasts or if customers do not control their inventory effectively, customers may significantly and abruptly reduce their demand, or even cancel orders. Orders for materials purchases from certain suppliers may include noncancellable purchase commitments or advance payments from us, and those obligations and commitments could reduce our ability to adjust our inventory or expense levels to reflect declining market demands. Because certain of our sales, research and development, and internal manufacturing overhead expenses are relatively fixed, a reduction in customer demand likely would decrease our gross margins and operating income. Unexpected declines in customer demands can also result in lower average selling prices and additional expenses.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also experience intense demand for our products in periods of a rising economy and we may have difficulty expanding our manufacturing capacity to satisfy demand during such periods. We may not be able to purchase sufficient supplies, allocate sufficient manufacturing capacity, hire skilled personnel, or expand our facilities to meet such increases in demand. Rapid customer ramp-up and significant increases in demand may strain our resources or negatively affect our margins. Inability to satisfy customer demand in a timely manner may harm our reputation, reduce our other opportunities, damage our relationships with customers, reduce our market share, reduce revenue growth, and/or cause us to incur contractual penalties.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Changes in the demand mix, needed technologies, and these end markets may adversely affect our ability to match our products, inventory, and capacity to meet customer demand and could adversely affect our operating results and financial condition. A slowdown in demand or recessionary trends in the global economy makes it more difficult for us to predict our future sales and manage our operations, and could adversely impact our results of operations. Capacity that we add during upturns in the business cycle may result in excess capacity during periods when demand for our products recede, resulting in inefficient use of capital which could also adversely affect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downturn in our business in general, or isolated to a particular sector, could require us to incur restructuring and severance charges and/or asset write-downs.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face significant challenges managing our capacity expansion strategy.</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As part of our strategy to drive growth and increase capacity to assure customers of reliable volume as they scale, we are increasing internal capacity by heavily investing in capital expenditures, and plan to increase external capacity by outsourcing additional commodity products to subcontractors. Our capacity expansion plans include the expansion of the recently acquired Newport wafer fab, building a 12-inch wafer fab in Itzehoe, Germany adjacent to our existing 8-inch wafer fab, a new site in Mexico for power inductors and non-linear resistors, a resistor manufacturing expansion in Mexico, and expanded diode manufacturing in Taiwan and Turin, Italy. There are demand-related risks associated with all growth initiatives. There are also inherent execution risks in building and starting new wafer fabs, acquiring existing wafer fabs, and expanding production capacity at our own facilities or that of new or existing subcontractors that could significantly increase costs and negatively impact our operating results. The risks include, but are not limited to, the following:</w:t>
      </w:r>
    </w:p>
    <w:p>
      <w:pPr>
        <w:spacing w:after="0" w:line="132" w:lineRule="exact"/>
        <w:rPr>
          <w:sz w:val="20"/>
          <w:szCs w:val="20"/>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and construction delays and cost overruns;</w:t>
      </w:r>
    </w:p>
    <w:p>
      <w:pPr>
        <w:spacing w:after="0" w:line="17"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installing and qualifying new equipment and ramping production;</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production process yields and reduced quality control; and</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insufficient personnel with requisite expertise and experience to operate the facilities.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have incurred, and may in the future incur, restructuring costs and associated asset write-downs.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remain competitive, particularly when business conditions are difficult, or to implement organizational change, we sometimes implement restructuring programs. The programs attempt to reduce our cost structure by achieving synergies, eliminating redundant facilities and staff positions, and moving operations, where possible, to jurisdictions with lower labor costs. In 2024, we announced a restructuring program that primarily focuses on optimizing our manufacturing footprint and streamlining business decision making.</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our long-term strategy includes growing through the integration of acquired businesses, and GAAP requires plant closure and employee termination costs that we incur in connection with our acquisition activities to be recorded as expenses in our consolidated statement of operations, as such expenses are incurred. For this reason, we expect to have some level of future restructuring expenses due to acquisitions.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business may be adversely affected by the widespread outbreak of diseases and the mitigation efforts by governments worldwide to control their spread.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cannot predict when future disease outbreaks or pandemics will occur. The potential risks and effects of future disease outbreaks and the related economic impact that could have an adverse effect on our business include, but are not limited to:</w:t>
      </w:r>
    </w:p>
    <w:p>
      <w:pPr>
        <w:spacing w:after="0" w:line="126" w:lineRule="exact"/>
        <w:rPr>
          <w:sz w:val="20"/>
          <w:szCs w:val="20"/>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impact on our customers and supply channels;</w:t>
      </w:r>
    </w:p>
    <w:p>
      <w:pPr>
        <w:spacing w:after="0" w:line="17"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 sales, product demand and pricing and unfavorable economic and market conditions;</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including higher shipping costs due to reduced shipping capacity;</w:t>
      </w:r>
    </w:p>
    <w:p>
      <w:pPr>
        <w:spacing w:after="0" w:line="1" w:lineRule="exact"/>
        <w:rPr>
          <w:rFonts w:ascii="Times New Roman" w:cs="Times New Roman" w:eastAsia="Times New Roman" w:hAnsi="Times New Roman"/>
          <w:sz w:val="14"/>
          <w:szCs w:val="14"/>
          <w:color w:val="auto"/>
        </w:rPr>
      </w:pPr>
    </w:p>
    <w:p>
      <w:pPr>
        <w:ind w:left="760" w:hanging="411"/>
        <w:spacing w:after="0" w:line="241" w:lineRule="auto"/>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manufacturing, support operations or workforce, or similar limitations for our customers, vendors, and suppliers, that could limit our ability to meet customer demand;</w:t>
      </w:r>
    </w:p>
    <w:p>
      <w:pPr>
        <w:spacing w:after="0" w:line="162"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increased credit risk if customers, distributors, and resellers are unable to pay us, or must delay paying their obligations to us;</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or disruptions of transportation, such as reduced availability of air transport, port closures, and increased border controls or closures could result in delays;</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on our workforce/employees due to the spread of the virus and any shelter-in-place orders; and</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risks as a result of extended periods of remote work arrangements.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effects could result in us being required to record impairment charges related to our property and equipment, intangible assets, or goodwill.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 the past we have grown through successful integration of acquired businesses, but this may not continue.</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long-term historical growth in revenues and net earnings has resulted in large part from our strategy of expansion through acquisitions. Despite our plan to continue to grow, in part, through targeted acquisitions, we may be unable to continue to identify, have the financial capabilities to acquire, or successfully complete transactions with suitable acquisition candidates. The rapid consolidation that our industry has experienced may further decrease our ability to identify attractive opportunities for acquisition. We are subject to various U.S. and foreign competition laws and regulations that may affect our ability to complete certain acquisitions. Also, if an acquired business fails to operate as anticipated, cannot be successfully integrated with our other businesses, or we cannot effectively mitigate the assumed, contingent, and unknown liabilities acquired, our results of operations, financial condition, enterprise value, market value, and prospects could all be materially adversely affected.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6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auto"/>
        </w:rPr>
        <w:t>To remain successful, we must continue to innovate, and our investments in new technologies may not prove successful.</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future operating results are dependent on our ability to continually develop, introduce, and market new and innovative products, to modify existing products, to respond to technological change, and to customize certain products to meet customer requirements. There are numerous risks inherent in this process, including the risks that we will be unable to anticipate the direction of technological change or that we will be unable to develop and market new products and applications in a timely fashion to satisfy customer demands. If this occurs, we could lose customers and experience adverse effects on our financial condition and results of operations.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to our own research and development initiatives, we periodically invest in technology start-up enterprises, in which we may acquire a controlling or noncontrolling interest but whose technology would be available to be commercialized by us. There are numerous risks in investments of this nature including the limited operating history of such start-up entities, their need for capital, and their limited or absence of production experience, as well as the risk that their technologies may prove ineffective or fail to gain acceptance in the marketplace. Certain of our historical investments in start-up companies have not succeeded, and there can be no assurance that our current and future investments in start-up enterprises will prove successful.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Potential investments in artificial intelligence may not be successful, which could adversely affect our business, reputation, or financial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evaluating investments in A.I. initiatives, including generative A.I.</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There are significant risks involved in developing and deploying A.I., and there can be no assurance that the usage of A.I. will enhance our products or services or be beneficial to our business, including our efficiency or profitability. For example, our A.I.-related efforts, particularly those related to generative A.I., subject us to risk related to harmful content, inaccuracies, bias, discrimination, toxicity, intellectual property infringement or misappropriation, defamation, data privacy, cybersecurity, and sanctions and export controls, among others. It is also uncertain how various laws will apply to content generated by A.I. We are subject to risks of new or enhanced governmental or regulatory scrutiny, litigation, or other legal liability, ethical concerns, negative consumer perceptions as to automation and A.I., or other complications that could adversely affect our business, reputation, or financial results.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result of the complexity and rapid development of A.I., it is the subject of evolving review by various U.S. governmental and regulatory agencies, and other foreign jurisdictions are applying, or are considering applying, their intellectual property, cybersecurity, data protection and other laws to A.I. and/or are considering general legal frameworks on A.I. We may not always be able to anticipate how to respond to these frameworks, given that they are still rapidly evolving. We may also have to expend resources to adjust our use of A.I. in certain jurisdictions if the legal frameworks on A.I. are not consistent across jurisdictions.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As such, it is not possible to predict all of the risks related to the use of A.I., and changes in laws, rules, directives, and regulations governing the use of A.I. may adversely affect our ability to develop and use A.I. or subject us to legal liability.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business and our results of operations are sensitive to supply chain disruptions.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our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disruptions experienced in recent years have, at times, negatively impacted our ability to manufacture products and to deliver them to customers.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most materials incorporated into our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us to temporarily cease or reduce production or incur additional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Many of the metals used in the manufacture of our products, including gold, copper, and palladium, are traded on active markets and can be subject to significant price volatility. To ensure adequate supply and to provide cost certainty, our policy is to enter into short-term commitments to purchase defined portions of annual consumption of the raw materials utilized if market prices decline below budget. In certain circumstances, we purchase precious metals bullion in excess of our immediate manufacturing needs to mitigate the risk of supply shortages or volatile price fluctuations. If after entering into these commitments or purchasing the metals bullion, the market prices for these raw materials decline, we must recognize losses on these adverse purchase commitments and metals bullion purchases.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production can be disrupted by the unavailability of resources, such as water, energy, and gases. The unavailability or reduced availability of these resources could require us to reduce production or incur additional costs.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use third-party foundries and subcontractors for certain of our manufacturing activities, primarily wafer fabrication, the assembly and testing of finished goods, and the manufacturing of certain commodity products. Establishing third-party contract manufacturer relationships can be time consuming and costly, and the number of qualified providers is limited. Our agreements with these manufacturers typically require us to commit to purchase services based on forecasted product needs, which may be inaccurate, and, in some cases, require us to recognize losses on these adverse purchase commitments. Our agreements may limit our ability to increase production, particularly during periods of growing demand for our products.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4"/>
          <w:szCs w:val="14"/>
          <w:color w:val="auto"/>
        </w:rPr>
        <w:t>Due to our global supply chain, we are impacted by global trade disputes. The governments of the U.S. and the People’s Republic of China remain in a trade dispute that has resulted in tariffs and other trade restrictions including import / export prohibitions. Disruptions to global trade could result in customers seeking different sources of product or requiring us to seek different sources of supply. New or revised trade agreements could require changes in operations in the long-term.</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remain cognizant of these supply chain challenges and seek to minimize their effects whenever possible. Despite our best efforts, there can be no assurances we will be successful in mitigating these risks and if we are unable to do so, they may have material negative impacts on our business and results of operations.</w:t>
      </w:r>
    </w:p>
    <w:p>
      <w:pPr>
        <w:spacing w:after="0" w:line="10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Our ability to compete effectively with other companies depends, in part, on our ability to maintain the proprietary nature of our technology and to operate our business without infringing or violating the intellectual property rights of others.</w:t>
      </w:r>
    </w:p>
    <w:p>
      <w:pPr>
        <w:spacing w:after="0" w:line="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Protection of intellectual property often involves complex legal and factual issues. We will be able to protect our proprietary rights from unauthorized use by third parties only to the extent that our proprietary technologies are covered by valid and enforceable patents or are effectively maintained as trade secrets. We have applied, and will continue to apply, for patents covering our technologies and products, as we deem appropriate. However, our applications may not result in issued patents. Also, our existing patents and any future patents may not be sufficiently broad to prevent others from practicing our technologies or from developing competing products. Others may independently develop similar or alternative technologies, design around our patented technologies, or may challenge or seek to invalidate our patents. Also, the legal system in certain countries in which we operate may not provide or may not continue to provide sufficient, intellectual property legal protections and remedies.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Litigation regarding patent and other intellectual property rights is prevalent in the electronic components industry, particularly the discrete semiconductor sector. We have on occasion been notified that we may be infringing on patent and other intellectual property rights of others. In addition, customers purchasing components from us have rights to indemnification under certain circumstances if such components violate the intellectual property rights of others. Further, we have observed that in the current business environment, electronic component and semiconductor companies have become more aggressive in asserting and defending patent claims against competitors. We will continue to vigorously defend our intellectual property rights, and may become party to disputes regarding patent licensing and cross patent licensing. Although licenses are generally offered in such situations and we have successfully resolved these situations in the past, there can be no assurance that we will not be subject to future litigation alleging intellectual property rights infringement, or that we will be able to obtain licenses on acceptable terms. An unfavorable outcome regarding one of these matters could have a material adverse effect on our business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face intense competition in our business, and are susceptible to certain concentrations.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Our business is highly competitive worldwide, with low transportation costs and few import barriers. We compete principally on the bases of product quality and reliability, availability, customer service, technological innovation, timely delivery, and price. Our ability to compete successfully also depends on elements out of our control. We face significant competition within each of our product segments from larger global manufacturers and smaller manufacturers focused on specific market niches. The electronic component industry has become increasingly concentrated and globalized in recent years as many of our primary competitors have been acquired. The acquiring companies, most of which are larger than us, have significant financial resources and technological capabilities.</w:t>
      </w:r>
    </w:p>
    <w:p>
      <w:pPr>
        <w:spacing w:after="0" w:line="2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A material portion of our revenues are derived from the worldwide industrial, automotive, telecommunications, and computing markets. These markets have historically experienced wide variations in demand for end products. If demand for these end products should decrease, the producers thereof could reduce their purchases of our products, which could have an adverse effect on our results of operations and financial position.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no customer comprises over 10% of our consolidated net revenues, certain subsidiaries and product lines are susceptible to customer concentrations and have customers which comprise greater than 10% of the subsidiary’s or product line’s net revenues. The loss of one of these customers could have a material effect on the results of operations of the subsidiary or product line and financial position of the subsidiary, which could result in an impairment charge which could be material to our consolidated financial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backlog is subject to customer cancellation.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the orders that comprise our backlog may be canceled by our customers without penalty. Our customers may on occasion double and triple order components from multiple sources to ensure timely delivery when demand exceeds global supply. They often cancel orders when business is weak and inventories are excessive. Therefore, we cannot be certain that the amount of our backlog accurately reflects the level of orders that we will ultimately deliver. Our results of operations could be adversely impacted if customers cancel a material portion of orders in our backlog.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future success is substantially dependent on our ability to attract and retain highly qualified technical, managerial, marketing, finance, and administrative personnel.</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Rapid changes in technologies, frequent new product introductions, and declining average selling prices over product life cycles require us to attract and retain highly qualified personnel to develop and manufacture products that feature technological innovations and bring them to market on a timely basis. Our complex operations also require us to attract and retain highly qualified administrative personnel in functions such as legal, tax, accounting, financial reporting, auditing, and treasury. The market for personnel with such qualifications is highly competitive. While we have employment agreements with certain of our executives, we have not entered into employment agreements with all of our key personnel.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loss of the services of or the failure to effectively recruit qualified personnel could have a material adverse effect on our business.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auto"/>
        </w:rPr>
        <w:t>Significant fluctuations in interest rates could adversely affect our results of operations and financial position.</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exposed to changes in interest rates as a result of our borrowing activities and our cash balances. Our credit facility bears interest at variable rates based on Secured Overnight Financing Rate ("SOFR") and other currency-specific reference rates. A significant increase in such reference rates would significantly increase our interest expense. A general increase in interest rates would be largely offset by an increase in interest income earned on our cash and short-term investment balances. However, there can be no assurance that the interest rate earned on cash and short-term investments will move in tandem with the interest rate paid on our variable rate debt.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Cyberattacks and other interruptions in our information technology systems could adversely affect our business.</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rely on the efficient and uninterrupted operation of complex information technology systems and networks to operate our business. We are exposed to, and adversely affected by, cyberattacks or other potential disruptions to our information technology systems and data security. Any significant system or network disruption, including, but not limited to, new system implementations, computer viruses, security breaches, phishing, spoofing, cyberattacks, facility issues or energy blackouts could have a material adverse impact on our operations and results of operations. These incidents, which might be related to industrial or other espionage, include covertly introducing malware and spyware to our computers and networks (or to an electronic system operated by a third party for our benefit) and impersonating authorized users, among others. Such a network disruption could result in a loss of the confidentiality of our intellectual property or the release of sensitive competitive information or customer, supplier or employee personal data. Any loss of such information could harm our competitive position, result in a loss of customer confidence, and cause us to incur significant costs to remedy the damages caused by the disruptions or security breaches. We have implemented protective measures to prevent against and limit the effects of system or network disruptions, but there can be no assurance that such measures will be sufficient to prevent or limit the damage from any disruptions and any such disruption could have a material adverse impact on our business and results of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subject to numerous laws and regulations regarding privacy and data protection. The scope of these laws and regulations is evolving rapidly and is subject to differing interpretations, and thus may be inconsistent among jurisdictions. Such laws and regulations have resulted and will continue to result in significantly greater compliance burdens and costs for us.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Third-party service providers, such as foundries, subcontractors, distributors, and vendors have access to certain portions of our sensitive data. In the event that these service providers do not properly safeguard our data that they hold, security breaches and loss of our data could result. Any such loss of data by our third-party service providers could have a material adverse impact on our business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Future acquisitions could require us to issue additional indebtedness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28879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7980" cy="5715"/>
                    </a:xfrm>
                    <a:prstGeom prst="rect">
                      <a:avLst/>
                    </a:prstGeom>
                    <a:noFill/>
                  </pic:spPr>
                </pic:pic>
              </a:graphicData>
            </a:graphic>
          </wp:anchor>
        </w:drawing>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If we were to undertake a substantial acquisition for cash, the acquisition would likely need to be financed in part through bank borrowings or the issuance of public or private debt. This acquisition financing would likely decrease our ratio of earnings to fixed charges and adversely affect other leverage criteria. Under our credit facility, we are required to obtain the lenders’ consent for certain additional debt financing and to comply with other covenants including the application of specific financial ratios. We cannot make any assurances that the necessary acquisition financing would be available to us on acceptable terms if and when required. If we were to undertake an acquisition for equity, the acquisition may have a dilutive effect on the interests of the holders of our common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 may experience significant variability in our quarterly and annual effective tax rate which would affect our reported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48336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33620" cy="5715"/>
                    </a:xfrm>
                    <a:prstGeom prst="rect">
                      <a:avLst/>
                    </a:prstGeom>
                    <a:noFill/>
                  </pic:spPr>
                </pic:pic>
              </a:graphicData>
            </a:graphic>
          </wp:anchor>
        </w:drawing>
      </w:r>
    </w:p>
    <w:p>
      <w:pPr>
        <w:spacing w:after="0" w:line="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operate in a global environment with significant operations in various locations outside the United States. Our effective income tax rate is the result of the income tax rates in the various locations where we operate. Our mix of income and losses in these locations affects our effective tax rate. Variability in the mix and profitability of domestic and international activities, identification and resolution of various tax uncertainties, changes in tax laws and rates, and the extent to which we are able to realize net operating loss and other carryforwards included in deferred tax assets and avoid potential adverse outcomes included in deferred tax liabilities, among other matters, may significantly affect our effective income tax rate in the future. A relative increase in income in higher tax rate jurisdictions increases our effective tax rate and thus decreases net income. Similarly, generating losses in tax jurisdictions for which no benefits are available also increases our effective income tax rate. Our effective income tax rate may also be impacted by the recognition of discrete income tax items, such as required adjustments to our liabilities for uncertain tax positions or our deferred tax asset valuation allowance. A significant increase in our effective income tax rate could have a material adverse impact on our earnings.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intangible assets may become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6319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0" cy="5715"/>
                    </a:xfrm>
                    <a:prstGeom prst="rect">
                      <a:avLst/>
                    </a:prstGeom>
                    <a:noFill/>
                  </pic:spPr>
                </pic:pic>
              </a:graphicData>
            </a:graphic>
          </wp:anchor>
        </w:drawing>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Goodwill and indefinite-lived intangible assets are not amortized but rather are tested for impairment at least annually. These tests are performed more frequently whenever events or changes in circumstances indicate that the assets might be impaired. The testing of assets for impairment requires us to make significant estimates about our future events, including our performance and projected cash flows, as well as other assumptions. These estimates can be affected by numerous factors, including developments in the global economic environment, including the prospect of higher interest rates, market capitalization declines, developments in regulatory, industry and market conditions, changes in business operations, inability to effectively integrate acquired businesses, changes in competition, or changes in technologies. Any changes in key assumptions, or actual performance compared with key assumptions, about our business and its future prospects could affect the fair value of one or more of our assets, which may result in an impairment charge.</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acquisitions of MaxPower Semiconductor, Inc. and the Newport wafer fab, as well as the planned capacity expansions at Itzehoe and Newport, are long-term investments which were not expected to generate significant income or cash flows in the near-term, but should greatly enhance the long-term position of our MOSFETs business. Such investments have significantly increased the net asset base of our MOSFETs business without a corresponding increase in current income or cash flows. We performed a quantitative assessment of each of our reporting units as of September 28, 2024 and determined that the estimated fair value of each reporting unit exceeded its carrying value, although the MOSFETs reporting unit’s fair value exceeded its carrying value by less than 10%. Several factors, including a further decrease in our stock price, a further increase in the asset base, and other negative internal and external factors, required us to test our MOSFETs goodwill for impairment again in the fourth fiscal quarter of 2024. As a result, we recorded a non-cash impairment charge of $66.5 million to write-off the goodwill of the MOSFETs reporting unit. If we are not able to achieve our anticipated results or our stock price decreases further, the fair value of our other reporting units would be adversely affected, which may result in future impairment. There is $179.0 million of goodwill remaining on our balance sheet as of December 31, 2024. Any impairment charges would adversely affect our results of operations in the periods an impairment is recognized.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and compliance related risks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Future changes in our environmental liability and compliance obligations may harm our ability to operate or increase our costs.</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operations, products and/or product packaging are subject to, among other matters, environmental laws and regulations governing, among other matters, air emissions, wastewater discharges, the handling, disposal and remediation of hazardous substances, wastes and certain chemicals used or generated in our manufacturing processes, employee health and safety labeling or other notifications with respect to the content or other aspects of our processes, products or packaging, restrictions on the use of certain materials in or on design aspects of our products or product packaging, and responsibility for disposal of products or product packaging. We establish reserves for specifically identified potential environmental liabilities. Nevertheless, we have in the past and may in the future inherit certain pre-existing environmental liabilities, generally based on successor liability doctrines, or otherwise incur environmental liabilities. We are involved in remediation programs and related litigation at various current and former properties and at third-party disposal sites both within and outside of the United States, including involvement as a potentially responsible party at Superfund sites. Although we have never been involved in any environmental matter that has had a material adverse impact on our overall operations, there can be no assurance that in connection with any past or future acquisition, future developments, including related to our remediation programs, or otherwise, we will not be obligated to address environmental matters that could have a material adverse impact on our results of operations. In addition, more stringent environmental laws and regulations may be enacted in the future, and we cannot presently determine the modifications, if any, in our operations that any such future regulations might require, or the cost of compliance with current and future laws and regulations. In order to resolve liabilities at various sites, we have entered into various administrative orders and consent decrees, some of which may be, under certain conditions, reopened or subject to renegotiation.</w:t>
      </w:r>
    </w:p>
    <w:p>
      <w:pPr>
        <w:spacing w:after="0" w:line="29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Our products are sold to or used in goods sold to the U.S. government and other governments. By virtue of such sales, we are subject to various regulatory requirements and risks in the event of non-compliance.</w:t>
      </w:r>
    </w:p>
    <w:p>
      <w:pPr>
        <w:spacing w:after="0" w:line="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sell products under prime and subprime contracts with the U.S. government and other governments. Many of these products are used in military applications. Government contractors must comply with specific procurement regulations and other requirements. These requirements, although customary in government contracts, impact our performance and compliance costs. Failure to comply with these regulations and requirements could result in contract modifications or termination, and the assessment of penalties and fines, which could negatively impact our results of operations and financial condition. Our failure to comply with these regulations and requirements could also lead to suspension or debarment, for cause, from government contracting or subcontracting for a period of time. Among the causes for debarment are violations of various statutes, including those related to procurement integrity, export control, government security regulations, employment practices, protection of the environment, accuracy of records and the recording of costs, and foreign corruption. The termination of a government contract as a result of any of these acts could have a negative impact on our results of operations and financial condition and could have a negative impact on our reputation and ability to procure other government contracts in the future.</w:t>
      </w:r>
    </w:p>
    <w:p>
      <w:pPr>
        <w:spacing w:after="0" w:line="2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qualified certain of our products under various military specifications approved and monitored by the United States Defense Electronic Supply Center and under certain European military specifications. These products are assigned certain classification levels. In order to maintain the classification level of a product, we must continuously perform tests on the products and the results of these tests must be reported to governmental agencies. If a product fails to meet the requirements of the applicable classification level, its classification may be reduced to a lower level. A decrease in the classification level for a product with a military application could have an adverse impact on the net revenues and earnings attributable to that product.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credit facility restricts our current and future operations and requires compliance with certain financial covenants.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credit facility includes restrictions on, among other things, incurring indebtedness, incurring liens on assets, making investments and acquisitions, making asset sales, and paying cash dividends and making other restricted payments. Our credit facility also requires us to comply with other covenants, including the maintenance of specific financial ratios. If we are not in compliance with all of such covenants, the credit facility could be terminated by the lenders, and all amounts outstanding pursuant to the credit facility could become immediately payable. Additionally, our convertible senior notes due 2030 have cross-default provisions that could accelerate repayment in the event the indebtedness under the credit facility is accelerated.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associated with our operations outside the United States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are subject to the risks of political, economic, and military instability in countries outside the United States in which we operate.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substantial operations outside the United States, and approximately 74% of our revenues during 2024 were derived from sales to customers outside the United States. Certain of our assets are located, and certain of our products are produced, in countries which are subject to risks of social, political, economic, and military instability. This instability could result in wars, riots, nationalization of industry, currency fluctuation, and labor unrest. These conditions could have an adverse impact on our ability to operate in these regions and, depending on the extent and severity of these conditions, could materially and adversely affect our overall financial condition, results of operations, and our ability to access our liquidity.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has been in operation in Israel for 54 years, where we have substantial manufacturing operations. Although we have never experienced any material interruption in our operations attributable to these factors, in spite of several Middle East crises, including the recent war with Hamas, our financial condition and results of operations might be adversely affected if events were to occur in the Middle East that interfered with our operations in Israel.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global operations are subject to extensive anti-corruption laws and other regulations.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U.S. Foreign Corrupt Practices Act and similar foreign anti-corruption laws generally prohibit companies and their intermediaries from making improper payments or providing anything of value to improperly influence foreign government officials for the purpose of obtaining or retaining business, or obtaining an unfair advantage. Recent years have seen a substantial increase in the global enforcement of anti-corruption laws. Our continued operation and expansion outside the United States, including in developing countries, could increase the risk of such violations or violations under other regulations relating to limitations on or licenses required for sales made to customers located in certain countries. Violations of these laws may result in severe criminal or civil sanctions, could disrupt our business, and result in a material adverse effect on our reputation, business and results of operations or financial condition.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05"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attempt to improve profitability by controlling labor costs, but these activities could result in labor unrest or considerable expense.</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Historically, our primary labor cost controlling strategy was to transfer manufacturing operations to countries with lower production costs, such as the Dominican Republic, India, Malaysia, Mexico, the People’s Republic of China, and the Philippines. We believe that our manufacturing footprint is suitable to serve our customers and end markets, while maintaining lower manufacturing costs. We do not anticipate further transferring any significant existing operations to lower-labor-cost countries; however, acquired operations may be transferred to lower-labor-cost countries when integrated into Vishay. Currently, our primary labor cost controlling strategy involves reducing hours and limiting the use of subcontractors and foundries when demand for our products decreases. Shifting operations to lower-labor-cost countries, reducing hours, or limiting the use of subcontractors and foundries could result in production inefficiencies, higher costs, and/or strikes or other types of labor unrest.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are subject to foreign currency exchange rate risks which may impact our results of operations.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are exposed to foreign currency exchange rate risks, particularly due to market values of transactions in currencies other than the functional currencies of certain subsidiaries. From time to time, we utilize forward contracts to hedge a portion of projected cash flows from these exposures.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Our significant foreign subsidiaries are located in Germany, Israel, the United Kingdom, and Asia. We finance our operations in Europe and certain locations in Asia in local currencies. Our operations in Israel, the United Kingdom,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situations where, for example, production labor costs are predominantly paid in local currencies while the sales revenue for those products is denominated in U.S. dollars. This is particularly the case for products produced in Israel, the United Kingdom, the Czech Republic, and China.</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 change in the mix of the currencies in which we transact our business could have a material effect on results of operations. Furthermore, the timing of cash receipts and disbursements could have a material effect on our results of operations, particularly if there are significant changes in exchange rates in a short period of time.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Most of our operating cash is generated by our non-U.S. subsidiaries, and our U.S. parent company and U.S. subsidiaries have significant payment obligations.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generate a significant amount of cash and profits from our non-U.S. subsidiaries. As of December 31, 2024, substantially all of our cash and cash equivalents and short-term investments were held by subsidiaries outside of the United States. Our revolving credit facility provides us with additional U.S. liquidity.</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U.S. tax obligations, cash dividends to stockholders, share repurchases, additional convertible debt repurchases, and principal and interest payments on our debt instruments need to be paid by our U.S. parent company, Vishay Intertechnology, Inc. A U.S.-domiciled subsidiary is funding the expansion and operations of the Newport wafer fabrication facility. Our U.S. subsidiaries have other operating cash needs.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our U.S. cash and cash equivalents and short-term investment and other liquidity sources are inadequate to satisfy these obligations, we may be required to repatriate additional cash to the United States and would be required to accrue and pay additional taxes. If we are unable to repatriate adequate cash to the United States to satisfy these obligations, it could materially and adversely affect our overall financial condition, results of operations and our liquidity.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Changes in U.S. trade policies, and related factors beyond our control, may adversely impact our business, financial condition, and results of operations.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Our business is subject to risks associated with U.S. and foreign legislation and regulations relating to imports, including quotas, duties, tariffs or taxes, and other import charges or restrictions, which could adversely affect our operations and our ability to import products. The U.S. has taken actions that impact U.S. trade with China, including restricting the export of certain goods and equipment to China, imposing tariffs on certain goods manufactured in China and imported into the U.S., including certain of our products. The U.S. has also threatened to impose tariffs on certain goods manufactured in Mexico and other countries. Such actions may impact our competitiveness and adversely affect the demand for these products, or if those costs cannot be passed on to our customers, could adversely impact our results of operations for affected segments and the Company as a whole.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Further changes in U.S. trade policy could trigger additional retaliatory actions by affected countries. If these consequences are realized, it could result in a general economic downturn or otherwise have a material adverse effect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capital structure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The holders of our Class B common stock have effective voting control of our company, giving them the effective ability to prevent a change in control transaction.</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have two classes of common stock: common stock and Class B common stock. The holders of common stock are entitled to one vote for each share held, while the holders of Class B common stock are entitled to 10 votes for each share held. At December 31, 2024, the holders of Class B common stock held approximately 49.4% of the voting power of the Company. The ownership of Class B common stock is highly concentrated, and holders of Class B common stock effectively can cause the election of directors and approve other actions as stockholders. Mrs. Ruta Zandman (a member of our Board of Directors) controls the voting of, solely or on a shared basis with Marc Zandman (our Executive Chairman) and Ziv Shoshani (a member of our Board of Directors), approximately 89.7% of our Class B common stock and 44.4% of the total voting power of our capital stock as of December 31, 2024. Holders of our Class B common stock may act in ways that are contrary to, or not in the best interests of, holders of our common stock. The voting rights of the holders of our Class B common stock effectively give such holders the ability to prevent transactions that would result in a change in control of us, including transactions in which holders of our common stock might otherwise receive a premium for their shares over the then-current market price.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42"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acquisition strategy could be impeded if our Board of Directors were reluctant to authorize the issuance of substantial additional shares.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overall long-term business strategy has historically included a strong focus on acquisitions financed alternatively through cash on hand or the incurrence of indebtedness. We may in the future be presented with attractive investment or strategic opportunities that, because of their size and our financial condition at the time, would require the issuance of substantial additional amounts of our common stock. If such opportunities were to arise, our Board of Directors may consider the potentially dilutive effect on the interests and voting power of our existing stockholders, including our Class B stockholders, and may therefore be reluctant to authorize the issuance of additional shares. Any such reluctance could impede our ability to complete certain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outstanding convertible debt instruments may impact the trading price of our common stock.</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believe that many investors in, and potential purchasers of, convertible debt instruments employ, or seek to employ, a convertible arbitrage strategy with respect to these instruments. Investors that employ a convertible arbitrage strategy with respect to convertible debt instruments typically implement that strategy by selling short the common stock underlying the convertible instrument and dynamically adjusting their short position while they hold the instrument. The implementation of this strategy by investors in our convertible debt instruments, as well as related market regulatory actions, could have a significant impact on the trading prices of our common stock, and the trading prices and liquidity of our convertible debt instruments. The price of our common stock and our convertible debt instruments could also be affected by possible sales of our common stock by investors who view our convertible debt instruments as more attractive means of equity participation in us.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Conversion of our outstanding 2025 Notes and 2030 Notes may dilute the ownership interest of our existing stockholders, including holders who had previously converted their notes.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conversion of some or all of our outstanding 2.25% convertible senior notes due 2025 (the "2025 Notes") or our outstanding 2.25% convertible senior notes due 2030 (the "2030 Notes") may dilute the ownership interests of our existing stockholders. Any sales in the public market of the common stock issuable upon such conversion could adversely affect prevailing market prices of our common stock.</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We may not have the ability to raise the funds necessary to settle conversions of our outstanding 2025 Notes and 2030 Notes in cash or to repurchase the notes upon a fundamental change or on a repurchase date, as applicable, and our current debt contains, and our future debt may contain, limitations on our ability to pay cash upon conversion or repurchase of the 2025 Notes or 2030 Notes.</w:t>
      </w:r>
    </w:p>
    <w:p>
      <w:pPr>
        <w:spacing w:after="0" w:line="2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Holders of our outstanding 2025 Notes and 2030 Notes have the right to require us to repurchase all or a portion of their 2025 Notes or 2030 Notes, as the case may be, upon the occurrence of a fundamental change at a fundamental change repurchase price equal to 100% of the principal amount of the 2025 Notes or 2030 Notes, as the case may be, to be repurchased, plus accrued and unpaid interest, if any. In addition, upon conversion of the 2030 Notes, we will be required to make cash payments for each $1,000 in principal amount of 2030 Notes converted of at least the lesser of $1,000 and the sum of the daily conversion values as described in the indenture governing the 2030 Notes. Our outstanding 2025 Notes contain similar provisions concerning the holders’ rights to require us to repurchase their 2025 Notes upon a fundamental change and to pay cash to settle conversions of their 2025 Notes. However, we may not have enough available cash or be able to obtain financing at the time we are required to make repurchases of the 2030 Notes or the 2025 Notes surrendered therefor or notes being converted. In addition, our ability to repurchase the 2025 Notes or the 2030 Notes or to pay cash upon conversions of the 2025 Notes or 2030 Notes may be limited by law, by regulatory authority or by agreements governing our existing and future indebtedness, as described below.</w:t>
      </w:r>
    </w:p>
    <w:p>
      <w:pPr>
        <w:spacing w:after="0" w:line="2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For example, our credit facility in effect from time to time may prohibit us from making any cash payments on the conversion or repurchase of the 2025 Notes or the 2030 Notes, as the case may be, upon a fundamental change repurchase if, after giving effect to such conversion or repurchase (and any additional indebtedness incurred in connection with such conversion or a repurchase), we would not be in pro forma compliance with the applicable financial covenants under that facility. Any new credit facility into which we may enter may have similar restrictions unless certain conditions are met. Our failure to make cash payments upon the conversion or repurchase of the 2025 Notes or the 2030 Notes, as the case may be, as required under the terms of the applicable indenture governing such notes would permit holders of the 2025 Notes or the 2030 Notes, as the case may be, to accelerate our obligations under the 2025 Notes or the 2030 Notes, as the case may be.</w:t>
      </w:r>
    </w:p>
    <w:p>
      <w:pPr>
        <w:spacing w:after="0" w:line="2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Our failure to repurchase the 2025 Notes or 2030 Notes at a time when the repurchase is required by the applicable indenture or to pay any cash payable on future conversions of the 2025 Notes or the 2030 Notes as required by the applicable indenture would constitute a default under such indenture. A default under such indenture or the fundamental change itself could also lead to a default under agreements governing our existing and future indebtedness, including our credit facility. If the repayment of the related indebtedness were to be accelerated after any applicable notice or grace periods, we may not have sufficient funds to repay the indebtedness and repurchase the notes or make cash payments upon conversions thereof. The repurchase of $53 million principal amount of the 2025 Notes in the fourth fiscal quarter of 2024 reduces the risk associated with the 2025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The conditional conversion feature of our outstanding 2030 Notes, if triggered, may adversely affect our financial condition and operating results.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event the conditional conversion feature of the 2030 Notes is triggered, holders of such notes will be entitled to convert the notes at any time during specified periods at their option. If one or more holders elect to convert their notes, we would be required to settle any converted principal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22" w:name="page23"/>
    <w:bookmarkEnd w:id="22"/>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Certain provisions in the indentures governing the 2025 Notes and 2030 Notes could delay or prevent an otherwise beneficial takeover or takeover attempt of us.</w:t>
      </w:r>
    </w:p>
    <w:p>
      <w:pPr>
        <w:spacing w:after="0" w:line="165"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4"/>
          <w:szCs w:val="14"/>
          <w:color w:val="auto"/>
        </w:rPr>
        <w:t>Certain provisions in the 2025 Notes and 2030 Notes and the applicable indenture could make it more difficult or more expensive for a third party to acquire us. For example, if a takeover would constitute a fundamental change, holders of the notes will have the right to require us to repurchase their notes in cash. In addition, if a takeover constitutes a make-whole fundamental change, we may be required to increase the conversion rate for holders who convert their notes in connection with such takeover. In either case, and in other cases, our obligations under the notes and the applicable indenture could increase the cost of acquiring us or otherwise discourage a third party from acquiring us or removing incumbent management, including in a transaction that holders of the notes or holders of our common stock may view as favorable.</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The capped call transactions may affect the market price of our common stock.</w:t>
      </w:r>
    </w:p>
    <w:p>
      <w:pPr>
        <w:spacing w:after="0" w:line="165"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In connection with the pricing of, and the initial purchasers’ exercise in full of their option to purchase additional, 2030 Notes, we entered into capped call transactions with the option counterparties. The capped call transactions are expected generally to reduce potential dilution to our common stock upon conversion of any 2030 Notes and to offset any cash payments made in excess of the principal amount of converted 2030 Notes, as the case may be, with such reduction and/or offset subject to a cap.</w:t>
      </w:r>
    </w:p>
    <w:p>
      <w:pPr>
        <w:spacing w:after="0" w:line="123"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4"/>
          <w:szCs w:val="14"/>
          <w:color w:val="auto"/>
        </w:rPr>
        <w:t>In connection with establishing their initial hedges of the capped call transactions, we expect the option counterparties or their respective affiliates to have purchased shares of our common stock and/or entered into various derivative transactions with respect to our common stock concurrently with or shortly after the pricing of the 2030 Notes. 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2030 Notes and prior to the maturity of the 2030 Notes (and are likely to do so on each exercise date for the capped call transactions or following any termination of any portion of the capped call transactions in connection with any repurchase, redemption or early conversion of the 2030 Notes). This activity could cause or avoid an increase or decrease in the market price of our common stock.</w:t>
      </w:r>
    </w:p>
    <w:p>
      <w:pPr>
        <w:spacing w:after="0" w:line="132"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In addition, if any such capped call transactions fail to become effective, the option counterparties or their respective affiliates may unwind their hedge positions with respect to our common stock, which could adversely affect the value of our common stock.</w:t>
      </w:r>
    </w:p>
    <w:p>
      <w:pPr>
        <w:spacing w:after="0" w:line="108"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4"/>
          <w:szCs w:val="14"/>
          <w:color w:val="auto"/>
        </w:rPr>
        <w:t>We do not make any representation or prediction as to the direction or magnitude of any potential effect that the transactions described above may have on the price of our common stock. In addition, we do not make any representation that the option counterparties will engage in these transactions or that these transactions, once commenced, will not be discontinued without notice.</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We are subject to counterparty risk with respect to the capped call transactions.</w:t>
      </w:r>
    </w:p>
    <w:p>
      <w:pPr>
        <w:spacing w:after="0" w:line="165"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4"/>
          <w:szCs w:val="14"/>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 as to the financial stability or viability of the option counterparties.</w:t>
      </w:r>
    </w:p>
    <w:p>
      <w:pPr>
        <w:spacing w:after="0" w:line="130" w:lineRule="exact"/>
        <w:rPr>
          <w:sz w:val="20"/>
          <w:szCs w:val="20"/>
          <w:color w:val="auto"/>
        </w:rPr>
      </w:pPr>
    </w:p>
    <w:p>
      <w:pPr>
        <w:jc w:val="both"/>
        <w:ind w:left="8" w:right="20"/>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Anti-takeover defenses in our amended and restated certificate of incorporation, our amended and restated bylaws and under Delaware law may impede or discourage a merger, a takeover attempt or other business combinations, which could also reduce the market price of our common stock.</w:t>
      </w:r>
    </w:p>
    <w:p>
      <w:pPr>
        <w:spacing w:after="0" w:line="88"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4"/>
          <w:szCs w:val="14"/>
          <w:color w:val="auto"/>
        </w:rPr>
        <w:t>We are a Delaware corporation, and the anti-takeover provisions of Delaware law impose various impediments to the ability of a third party to acquire control of us, even if a change in control would be beneficial to our existing stockholders. Our amended and restated certificate of incorporation and amended and restated bylaws also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08" w:lineRule="exact"/>
        <w:rPr>
          <w:sz w:val="20"/>
          <w:szCs w:val="20"/>
          <w:color w:val="auto"/>
        </w:rPr>
      </w:pPr>
    </w:p>
    <w:p>
      <w:pPr>
        <w:ind w:left="508" w:hanging="508"/>
        <w:spacing w:after="0" w:line="253"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that our Class B common stock is generally entitled to ten votes per share, while our common stock is entitled to one vote per share, enabling the holders of our Class B common stock to effectively control the outcome of substantially all matters submitted to a vote of our stockholders, including the election of directors and change of control transactions;</w:t>
      </w:r>
    </w:p>
    <w:p>
      <w:pPr>
        <w:ind w:left="508" w:hanging="508"/>
        <w:spacing w:after="0" w:line="241"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establishing a classified board of directors with three-year staggered terms and the provision that a director may be removed only for cause, each of which could delay the ability of stockholders to change the membership of a majority of our board of directors;</w:t>
      </w:r>
    </w:p>
    <w:p>
      <w:pPr>
        <w:ind w:left="508" w:right="20" w:hanging="508"/>
        <w:spacing w:after="0" w:line="241"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ind w:left="508" w:hanging="508"/>
        <w:spacing w:after="0" w:line="241"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508" w:hanging="508"/>
        <w:spacing w:after="0" w:line="241"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directors or by any officer instructed by the directors to call the meeting, which could delay the ability of our stockholders to force consideration of a proposal or to take action, including the removal of directors; and</w:t>
      </w:r>
    </w:p>
    <w:p>
      <w:pPr>
        <w:ind w:left="508" w:hanging="508"/>
        <w:spacing w:after="0" w:line="258"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by majority vote, to amend the bylaws, which may allow our board of directors to take additional actions to prevent an unsolicited takeover and inhibit the ability of an acquirer to amend the bylaws to facilitate an unsolicited takeover attempt.</w:t>
      </w:r>
    </w:p>
    <w:p>
      <w:pPr>
        <w:spacing w:after="0" w:line="8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07" w:right="299" w:bottom="1440" w:gutter="0" w:footer="0" w:header="0"/>
        </w:sectPr>
      </w:pPr>
    </w:p>
    <w:bookmarkStart w:id="23" w:name="page24"/>
    <w:bookmarkEnd w:id="23"/>
    <w:p>
      <w:pPr>
        <w:jc w:val="both"/>
        <w:spacing w:after="0" w:line="251" w:lineRule="auto"/>
        <w:rPr>
          <w:sz w:val="20"/>
          <w:szCs w:val="20"/>
          <w:color w:val="auto"/>
        </w:rPr>
      </w:pPr>
      <w:r>
        <w:rPr>
          <w:rFonts w:ascii="Times New Roman" w:cs="Times New Roman" w:eastAsia="Times New Roman" w:hAnsi="Times New Roman"/>
          <w:sz w:val="14"/>
          <w:szCs w:val="14"/>
          <w:color w:val="auto"/>
        </w:rPr>
        <w:t>In addition, as a Delaware corporation, we are subject to Section 203 of the Delaware General Corporation Law. This statute prohibits a Delaware corporation listed on a national securities exchange from engaging in a business combination with an interested stockholder (generally a person who, together with its affiliates, owns or within the last three years has owned 15% or more of our voting stock subject to certain exceptions) for a period of three years after the date of the transaction in which the person became an interested stockholder, unless the business combination is approved in a prescribed manner. The application of Section 203 also could have the effect of delaying or preventing a change in control of us. Any of these provisions could, under certain circumstances, depress the market price of our common stock.</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ability of our board of directors or a committee thereof to create and issue a new series of preferred stock and certain provisions of Delaware law and our certificate of incorporation and bylaws could impede a merger, takeover attempt or other business combination involving us or discourage a potential acquirer from making a tender offer for our common stock, which, under certain circumstances, could reduce the market price of our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spin-off of the Vishay Precision Group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Vishay Precision Group is using the Vishay name under license from us, which could result in product and market confusion or the loss of certain of our rights to the Vishay name</w:t>
      </w:r>
      <w:r>
        <w:rPr>
          <w:rFonts w:ascii="Times New Roman" w:cs="Times New Roman" w:eastAsia="Times New Roman" w:hAnsi="Times New Roman"/>
          <w:sz w:val="14"/>
          <w:szCs w:val="14"/>
          <w:u w:val="single" w:color="auto"/>
          <w:color w:val="auto"/>
        </w:rPr>
        <w:t>.</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VPG has a worldwide, perpetual and royalty-free license from us to use the “Vishay” mark as part of its corporate name and in connection with the manufacture, sale, and marketing of the products and services that comprise its measurements and foil resistors businesses. The license of the Vishay name to VPG is important to VPG because the success of VPG depends on the reputation of the Vishay brand for these products and services built over many years. Nonetheless, there exists the risk that the use by VPG could cause confusion in the marketplace over the products of the two companies, that any negative publicity associated with a product or service of VPG following the spin-off could be mistakenly attributed to our company or that we could lose our own rights to the “Vishay” mark if we fail to impose sufficient controls on VPG’s use of the mark.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Risk Factors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addition to the risks relating specifically to our business, a variety of other factors relating to general conditions could cause actual results, performance, or achievements to differ materially from those expressed in any of our forward-looking statements. These factors include:</w:t>
      </w:r>
    </w:p>
    <w:p>
      <w:pPr>
        <w:spacing w:after="0" w:line="90"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economic and business conditions;</w:t>
      </w:r>
    </w:p>
    <w:p>
      <w:pPr>
        <w:spacing w:after="0" w:line="17"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factors in the industries in which we conduct our business;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requirements, including tax rate changes, new tax laws, and revised tax law interpretations;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interpretations of GAAP by governmental agencies and self-regulatory groups;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fluctuations, foreign currency rate fluctuations, and other capital market conditions; and</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political conditions in international markets, including governmental changes and restrictions on the ability to transfer capital across borders.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common stock, traded on the New York Stock Exchange, has in the past experienced, and may continue to experience, significant fluctuations in price and volume. We believe that the financial performance and activities of other publicly traded companies in the electronic component industry could cause the price of our common stock to fluctuate substantially without regard to our operating performance.</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operate in a continually changing business environment, and new factors emerge from time to time. Other unknown and unpredictable factors also could have a material adverse effect on our future financial condition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24" w:name="page25"/>
    <w:bookmarkEnd w:id="24"/>
    <w:p>
      <w:pPr>
        <w:spacing w:after="0"/>
        <w:tabs>
          <w:tab w:leader="none" w:pos="1360" w:val="left"/>
        </w:tabs>
        <w:rPr>
          <w:sz w:val="20"/>
          <w:szCs w:val="20"/>
          <w:color w:val="auto"/>
        </w:rPr>
      </w:pPr>
      <w:r>
        <w:rPr>
          <w:rFonts w:ascii="Times New Roman" w:cs="Times New Roman" w:eastAsia="Times New Roman" w:hAnsi="Times New Roman"/>
          <w:sz w:val="14"/>
          <w:szCs w:val="14"/>
          <w:b w:val="1"/>
          <w:bCs w:val="1"/>
          <w:u w:val="single" w:color="auto"/>
          <w:color w:val="auto"/>
        </w:rPr>
        <w:t>Item 1B.</w:t>
      </w:r>
      <w:r>
        <w:rPr>
          <w:sz w:val="20"/>
          <w:szCs w:val="20"/>
          <w:color w:val="auto"/>
        </w:rPr>
        <w:tab/>
      </w:r>
      <w:r>
        <w:rPr>
          <w:rFonts w:ascii="Times New Roman" w:cs="Times New Roman" w:eastAsia="Times New Roman" w:hAnsi="Times New Roman"/>
          <w:sz w:val="14"/>
          <w:szCs w:val="14"/>
          <w:b w:val="1"/>
          <w:bCs w:val="1"/>
          <w:u w:val="single" w:color="auto"/>
          <w:color w:val="auto"/>
        </w:rPr>
        <w:t>UNRESOLVED STAFF COMMENTS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1C.</w:t>
      </w:r>
      <w:r>
        <w:rPr>
          <w:sz w:val="20"/>
          <w:szCs w:val="20"/>
          <w:color w:val="auto"/>
        </w:rPr>
        <w:tab/>
      </w:r>
      <w:r>
        <w:rPr>
          <w:rFonts w:ascii="Times New Roman" w:cs="Times New Roman" w:eastAsia="Times New Roman" w:hAnsi="Times New Roman"/>
          <w:sz w:val="14"/>
          <w:szCs w:val="14"/>
          <w:b w:val="1"/>
          <w:bCs w:val="1"/>
          <w:u w:val="single" w:color="auto"/>
          <w:color w:val="auto"/>
        </w:rPr>
        <w:t>CYBERSECURITY</w:t>
      </w:r>
    </w:p>
    <w:p>
      <w:pPr>
        <w:spacing w:after="0" w:line="16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4"/>
          <w:szCs w:val="14"/>
          <w:color w:val="auto"/>
        </w:rPr>
        <w:t>We recognize the importance of assessing, identifying, and managing material risks associated with cybersecurity threats. These risks include, among other things: operational risks, intellectual property theft, fraud, extortion, harm to employees or customers and violation of data privacy or security laws.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are committed to maintaining robust governance and oversight of these risks and to implementing mechanisms, controls, technologies, and processes designed to help us assess, identify, and manage these risks. While we have not, as of the date of this Form 10-K, experienced a cybersecurity threat or incident that resulted in a material adverse impact to our business or operations, there can be no guarantee that we will not experience such an incident in the future. Such incidents, whether or not successful, could result in us incurring significant costs related to, for example, rebuilding our internal systems, writing down inventory value, implementing additional threat protection measures,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In addition, these threats are constantly evolving, thereby increasing the difficulty of successfully defending against them or implementing adequate preventative measures. Based on media reports and other surveys, we believe there is a general increase in cyberattack volume, frequency, and sophistication. We have experienced the same in our own business. We seek to detect and investigate unauthorized attempts and attacks against our network and to prevent their occurrence and recurrence where practicable through changes or updates to our internal processes and tools; however, we remain potentially vulnerable to known or unknown threats. In some instances, we, our suppliers, and our customers can be unaware of a threat or incident or its magnitude and effects. Further, there is increasing regulation regarding responses to cybersecurity incidents, including reporting to regulators, which could subject us to additional liability and reputational harm. See "Risk Factors" for more information on our cybersecurity risks.</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aim to incorporate industry best practices throughout our cybersecurity program. Identifying and assessing cybersecurity risk is integrated into our overall risk management program. Our cybersecurity strategy focuses on implementing effective and efficient controls, technologies, and other processes to assess, identify, and manage material cybersecurity risks. Our cybersecurity program is designed to be aligned with applicable industry standards and is tested annually by independent third-party consultants. We have processes in place to assess, identify, manage, and address material cybersecurity threats and incidents. These include, among other things: annual and ongoing security awareness training for employees; mechanisms to detect and monitor unusual network activity; and containment and incident response tools. We monitor issues that are internally discovered or externally reported that may affect us, and have processes to assess those issues for potential cybersecurity impact or risk.</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Cybersecurity is an important part of our risk management processes and an area of focus for our Board and management. Our Audit Committee is responsible for the oversight of risks from cybersecurity threats. Members of the Audit Committee receive updates on at least an annual basis from senior management, including leaders from our Information Technology, Internal Audit, and Legal teams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cybersecurity risk management and strategy processes are overseen by leaders from our Information Technology, Internal Audit, and Legal teams. Such individuals have an average of over 20 years of prior work experience in various roles involving information technology, security, auditing, legal,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25" w:name="page26"/>
    <w:bookmarkEnd w:id="25"/>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2.</w:t>
      </w:r>
      <w:r>
        <w:rPr>
          <w:sz w:val="20"/>
          <w:szCs w:val="20"/>
          <w:color w:val="auto"/>
        </w:rPr>
        <w:tab/>
      </w:r>
      <w:r>
        <w:rPr>
          <w:rFonts w:ascii="Times New Roman" w:cs="Times New Roman" w:eastAsia="Times New Roman" w:hAnsi="Times New Roman"/>
          <w:sz w:val="14"/>
          <w:szCs w:val="14"/>
          <w:b w:val="1"/>
          <w:bCs w:val="1"/>
          <w:u w:val="single" w:color="auto"/>
          <w:color w:val="auto"/>
        </w:rPr>
        <w:t>PROPERTIES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At December 31, 2024, our business had 60 manufacturing locations. Our manufacturing facilities include owned and leased locations. Some locations include both owned and leased facilities in the same location. The list of manufacturing facilities below excludes former manufacturing facilities that are not presently used for manufacturing activities.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opinion of management, our properties and equipment generally are in good operating condition and are adequate for our present needs. Owning many of our manufacturing facilities provides us meaningful financial and operating benefits, including long-term stability and a necessary buffer for economic downturns. We do not anticipate difficulty in renewing existing leases as they expire or in finding alternative facilities.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principal locations of our owned manufacturing facilities, along with available space including administrative offices,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Owned Locations</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Business Segment</w:t>
            </w:r>
          </w:p>
        </w:tc>
        <w:tc>
          <w:tcPr>
            <w:tcW w:w="432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Approx. Available Space</w:t>
            </w:r>
          </w:p>
        </w:tc>
        <w:tc>
          <w:tcPr>
            <w:tcW w:w="0" w:type="dxa"/>
            <w:vAlign w:val="bottom"/>
          </w:tcPr>
          <w:p>
            <w:pPr>
              <w:spacing w:after="0"/>
              <w:rPr>
                <w:sz w:val="1"/>
                <w:szCs w:val="1"/>
                <w:color w:val="auto"/>
              </w:rPr>
            </w:pPr>
          </w:p>
        </w:tc>
      </w:tr>
      <w:tr>
        <w:trPr>
          <w:trHeight w:val="142"/>
        </w:trPr>
        <w:tc>
          <w:tcPr>
            <w:tcW w:w="3440" w:type="dxa"/>
            <w:vAlign w:val="bottom"/>
            <w:gridSpan w:val="6"/>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(Square Feet)</w:t>
            </w:r>
          </w:p>
        </w:tc>
        <w:tc>
          <w:tcPr>
            <w:tcW w:w="0" w:type="dxa"/>
            <w:vAlign w:val="bottom"/>
          </w:tcPr>
          <w:p>
            <w:pPr>
              <w:spacing w:after="0"/>
              <w:rPr>
                <w:sz w:val="1"/>
                <w:szCs w:val="1"/>
                <w:color w:val="auto"/>
              </w:rPr>
            </w:pPr>
          </w:p>
        </w:tc>
      </w:tr>
      <w:tr>
        <w:trPr>
          <w:trHeight w:val="293"/>
        </w:trPr>
        <w:tc>
          <w:tcPr>
            <w:tcW w:w="10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Columbus, NE</w:t>
            </w:r>
          </w:p>
        </w:tc>
        <w:tc>
          <w:tcPr>
            <w:tcW w:w="780" w:type="dxa"/>
            <w:vAlign w:val="bottom"/>
            <w:tcBorders>
              <w:top w:val="single" w:sz="8" w:color="auto"/>
            </w:tcBorders>
            <w:gridSpan w:val="3"/>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Bennington, VT</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Yankton, SD</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Warwick, RI</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Niagara Falls, NY</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Marshall, MN</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4"/>
          </w:tcPr>
          <w:p>
            <w:pPr>
              <w:jc w:val="center"/>
              <w:ind w:right="1320"/>
              <w:spacing w:after="0" w:line="135" w:lineRule="exact"/>
              <w:rPr>
                <w:sz w:val="20"/>
                <w:szCs w:val="20"/>
                <w:color w:val="auto"/>
              </w:rPr>
            </w:pPr>
            <w:r>
              <w:rPr>
                <w:rFonts w:ascii="Times New Roman" w:cs="Times New Roman" w:eastAsia="Times New Roman" w:hAnsi="Times New Roman"/>
                <w:sz w:val="14"/>
                <w:szCs w:val="14"/>
                <w:color w:val="auto"/>
              </w:rPr>
              <w:t>Non-U.S.</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Vocklabruck, Austria</w:t>
            </w:r>
          </w:p>
        </w:tc>
        <w:tc>
          <w:tcPr>
            <w:tcW w:w="560" w:type="dxa"/>
            <w:vAlign w:val="bottom"/>
            <w:tcBorders>
              <w:top w:val="single" w:sz="8" w:color="auto"/>
            </w:tcBorders>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14"/>
                <w:szCs w:val="14"/>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Tianjin</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Shanghai</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Xi'an</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Czech Republic</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Blatna</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Dolni Rychnov</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Prachatice</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Volary</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France</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Nice</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Chateau Gontier</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Hyeres</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Selb</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Heide</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Erndtebrueck</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Landshut</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Fichtelberg</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Budapest, Hungary</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Loni, India</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Dimona</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Migdal Ha'Emek</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Be'er Sheva</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 Inductors and 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Turin, Italy</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Miharu, Japan</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Melaka, Malaysia</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Optoelectronic Components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Juarez, Mexico</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Famalicao, Portugal</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Republic of China (Taiwan)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Taipei</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Kaohsiung</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MOSFETs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Newport, South Wales, United Kingdom</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MOSFETs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jc w:val="right"/>
              <w:ind w:right="4088"/>
              <w:spacing w:after="0"/>
              <w:rPr>
                <w:sz w:val="20"/>
                <w:szCs w:val="20"/>
                <w:color w:val="auto"/>
              </w:rPr>
            </w:pPr>
            <w:r>
              <w:rPr>
                <w:rFonts w:ascii="Times New Roman" w:cs="Times New Roman" w:eastAsia="Times New Roman" w:hAnsi="Times New Roman"/>
                <w:sz w:val="12"/>
                <w:szCs w:val="12"/>
                <w:color w:val="auto"/>
              </w:rPr>
              <w:t>27</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81"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The principal locations of our leased manufacturing facilities, along with available space including administrative offices,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Leased Locations</w:t>
            </w:r>
          </w:p>
        </w:tc>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Business Segment</w:t>
            </w: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Approx. Available Space</w:t>
            </w:r>
          </w:p>
        </w:tc>
        <w:tc>
          <w:tcPr>
            <w:tcW w:w="0" w:type="dxa"/>
            <w:vAlign w:val="bottom"/>
          </w:tcPr>
          <w:p>
            <w:pPr>
              <w:spacing w:after="0"/>
              <w:rPr>
                <w:sz w:val="1"/>
                <w:szCs w:val="1"/>
                <w:color w:val="auto"/>
              </w:rPr>
            </w:pPr>
          </w:p>
        </w:tc>
      </w:tr>
      <w:tr>
        <w:trPr>
          <w:trHeight w:val="142"/>
        </w:trPr>
        <w:tc>
          <w:tcPr>
            <w:tcW w:w="3460" w:type="dxa"/>
            <w:vAlign w:val="bottom"/>
            <w:gridSpan w:val="6"/>
            <w:vMerge w:val="continue"/>
          </w:tcPr>
          <w:p>
            <w:pPr>
              <w:spacing w:after="0"/>
              <w:rPr>
                <w:sz w:val="12"/>
                <w:szCs w:val="12"/>
                <w:color w:val="auto"/>
              </w:rPr>
            </w:pPr>
          </w:p>
        </w:tc>
        <w:tc>
          <w:tcPr>
            <w:tcW w:w="64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(Square Feet)</w:t>
            </w:r>
          </w:p>
        </w:tc>
        <w:tc>
          <w:tcPr>
            <w:tcW w:w="0" w:type="dxa"/>
            <w:vAlign w:val="bottom"/>
          </w:tcPr>
          <w:p>
            <w:pPr>
              <w:spacing w:after="0"/>
              <w:rPr>
                <w:sz w:val="1"/>
                <w:szCs w:val="1"/>
                <w:color w:val="auto"/>
              </w:rPr>
            </w:pPr>
          </w:p>
        </w:tc>
      </w:tr>
      <w:tr>
        <w:trPr>
          <w:trHeight w:val="293"/>
        </w:trPr>
        <w:tc>
          <w:tcPr>
            <w:tcW w:w="1000" w:type="dxa"/>
            <w:vAlign w:val="bottom"/>
            <w:tcBorders>
              <w:top w:val="single" w:sz="8" w:color="auto"/>
            </w:tcBorders>
          </w:tcPr>
          <w:p>
            <w:pPr>
              <w:spacing w:after="0"/>
              <w:rPr>
                <w:sz w:val="24"/>
                <w:szCs w:val="24"/>
                <w:color w:val="auto"/>
              </w:rPr>
            </w:pPr>
          </w:p>
        </w:tc>
        <w:tc>
          <w:tcPr>
            <w:tcW w:w="2460" w:type="dxa"/>
            <w:vAlign w:val="bottom"/>
            <w:gridSpan w:val="5"/>
          </w:tcPr>
          <w:p>
            <w:pPr>
              <w:jc w:val="center"/>
              <w:ind w:right="1000"/>
              <w:spacing w:after="0"/>
              <w:rPr>
                <w:sz w:val="20"/>
                <w:szCs w:val="20"/>
                <w:color w:val="auto"/>
              </w:rPr>
            </w:pPr>
            <w:r>
              <w:rPr>
                <w:rFonts w:ascii="Times New Roman" w:cs="Times New Roman" w:eastAsia="Times New Roman" w:hAnsi="Times New Roman"/>
                <w:sz w:val="14"/>
                <w:szCs w:val="14"/>
                <w:color w:val="auto"/>
              </w:rPr>
              <w:t>United States</w:t>
            </w:r>
          </w:p>
        </w:tc>
        <w:tc>
          <w:tcPr>
            <w:tcW w:w="1040" w:type="dxa"/>
            <w:vAlign w:val="bottom"/>
            <w:tcBorders>
              <w:top w:val="single" w:sz="8" w:color="auto"/>
            </w:tcBorders>
          </w:tcPr>
          <w:p>
            <w:pPr>
              <w:spacing w:after="0"/>
              <w:rPr>
                <w:sz w:val="24"/>
                <w:szCs w:val="24"/>
                <w:color w:val="auto"/>
              </w:rPr>
            </w:pPr>
          </w:p>
        </w:tc>
        <w:tc>
          <w:tcPr>
            <w:tcW w:w="5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Columbus, NE</w:t>
            </w:r>
          </w:p>
        </w:tc>
        <w:tc>
          <w:tcPr>
            <w:tcW w:w="780" w:type="dxa"/>
            <w:vAlign w:val="bottom"/>
            <w:tcBorders>
              <w:top w:val="single" w:sz="8" w:color="auto"/>
            </w:tcBorders>
            <w:gridSpan w:val="3"/>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Attleboro, MA</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Carson City, NV</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Ontario, CA</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Dover, NH</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East Windsor, CT</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Hollis, NH</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Fremont, CA</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Glendale, WI</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Hudson, MA</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Montevideo, MN</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Duluth, MN</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tcPr>
          <w:p>
            <w:pPr>
              <w:jc w:val="center"/>
              <w:ind w:right="1460"/>
              <w:spacing w:after="0" w:line="135" w:lineRule="exact"/>
              <w:rPr>
                <w:sz w:val="20"/>
                <w:szCs w:val="20"/>
                <w:color w:val="auto"/>
              </w:rPr>
            </w:pPr>
            <w:r>
              <w:rPr>
                <w:rFonts w:ascii="Times New Roman" w:cs="Times New Roman" w:eastAsia="Times New Roman" w:hAnsi="Times New Roman"/>
                <w:sz w:val="14"/>
                <w:szCs w:val="14"/>
                <w:color w:val="auto"/>
              </w:rPr>
              <w:t>Non-U.S.</w:t>
            </w:r>
          </w:p>
        </w:tc>
        <w:tc>
          <w:tcPr>
            <w:tcW w:w="10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Klagenfurt, Austria</w:t>
            </w:r>
          </w:p>
        </w:tc>
        <w:tc>
          <w:tcPr>
            <w:tcW w:w="560" w:type="dxa"/>
            <w:vAlign w:val="bottom"/>
            <w:tcBorders>
              <w:top w:val="single" w:sz="8" w:color="auto"/>
            </w:tcBorders>
            <w:shd w:val="clear" w:color="auto" w:fill="CCEEFF"/>
          </w:tcPr>
          <w:p>
            <w:pPr>
              <w:spacing w:after="0"/>
              <w:rPr>
                <w:sz w:val="14"/>
                <w:szCs w:val="14"/>
                <w:color w:val="auto"/>
              </w:rPr>
            </w:pPr>
          </w:p>
        </w:tc>
        <w:tc>
          <w:tcPr>
            <w:tcW w:w="1460" w:type="dxa"/>
            <w:vAlign w:val="bottom"/>
            <w:gridSpan w:val="2"/>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0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Danshui</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 Inductors, and 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Shanghai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MOSFETs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Shatian</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 and 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Zhuhai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 Xi</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Santo Domingo, Dominican Republic</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104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Itzehoe</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MOSFETs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Heilbronn</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 and Optoelectronic Components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Selb</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Mumbai, India</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Mexico</w:t>
            </w:r>
          </w:p>
        </w:tc>
        <w:tc>
          <w:tcPr>
            <w:tcW w:w="10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Juarez</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Durango</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 and 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Mexicali</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Manila, Philippines</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Optoelectronic Components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Kaohsiung, Republic of China (Taiwan)</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400" w:type="dxa"/>
            <w:vAlign w:val="bottom"/>
            <w:gridSpan w:val="2"/>
          </w:tcPr>
          <w:p>
            <w:pPr>
              <w:ind w:left="2120"/>
              <w:spacing w:after="0"/>
              <w:rPr>
                <w:sz w:val="20"/>
                <w:szCs w:val="20"/>
                <w:color w:val="auto"/>
              </w:rPr>
            </w:pPr>
            <w:r>
              <w:rPr>
                <w:rFonts w:ascii="Times New Roman" w:cs="Times New Roman" w:eastAsia="Times New Roman" w:hAnsi="Times New Roman"/>
                <w:sz w:val="12"/>
                <w:szCs w:val="12"/>
                <w:color w:val="auto"/>
              </w:rPr>
              <w:t>28</w:t>
            </w: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1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26"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3.  LEGAL PROCEEDINGS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From time to time we are involved in routine litigation incidental to our business. Management believes that such matters, either individually or in the aggregate, should not have a material adverse effect on our business or financial condition.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 Matters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engaged in discussions with various parties regarding patent licensing and cross patent licensing issues. In addition, we have observed that in the current business environment, electronic component and semiconductor companies have become more aggressive in asserting and defending patent claims against competitors. When we believe other companies are misappropriating our intellectual property rights, we vigorously enforce those rights through legal action, and we intend to continue to do so.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Vishay is involved in environmental remediation programs at various sites currently or formerly owned by Vishay and its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also Note 13 to our consolidated financial statements.</w:t>
      </w:r>
    </w:p>
    <w:p>
      <w:pPr>
        <w:spacing w:after="0" w:line="1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Vishay GSI, Inc. (“VGSI”), a wholly owned subsidiary of the Company, was a direct defendant in two separate, but related, litigation matters previously pending in the United States District Court for the Eastern District of New York: (1) Hicksville Water District v. United States Department of Energy, et al.; and (2) Hicksville Water District v. Alsy Manufacturing, Inc. These cases contain claims for recovery of response costs under the Comprehensive Environmental Response, Compensation and Liability Act (“CERCLA”), and allege that a predecessor’s manufacturing operations in Hicksville, New York (the “Site”), between 1960 and 1993, impacted groundwater beneath and downgradient of the Site. The groundwater beneath and downgradient of the Site is part of the New Cassel/Hicksville Groundwater Contamination Site, which was added to the National Priorities List pursuant to CERCLA on September 15, 2011.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VGSI and the Hicksville Water District reached a comprehensive settlement of both cases brought by the Hicksville Water District that resolves all past and future claims, known and unknown.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Vishay admitted no liability and agreed to pay the Hicksville Water District $3 million. The settlement was approved by the court and both cases were dismissed in late July 2024.</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VGSI remains a defendant in one remaining case, 101 Frost Street Associates, L.P. v. United States Department of Energy et al., pending before the United States District Court for the Eastern District of New York. The remaining case contains claims for recovery of response costs under CERCLA, and alleges that a predecessor’s manufacturing operations in the Site, between 1960 and 1993, impacted groundwater beneath and downgradient of the Site. VGSI is vigorously contesting plaintiff’s claims and will aggressively prosecute its affirmative claims.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4.  MINE SAFETY DISCLOSURES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80" w:type="dxa"/>
            <w:vAlign w:val="bottom"/>
          </w:tcPr>
          <w:p>
            <w:pPr>
              <w:spacing w:after="0"/>
              <w:rPr>
                <w:sz w:val="13"/>
                <w:szCs w:val="13"/>
                <w:color w:val="auto"/>
              </w:rPr>
            </w:pPr>
          </w:p>
        </w:tc>
      </w:tr>
      <w:tr>
        <w:trPr>
          <w:trHeight w:val="339"/>
        </w:trPr>
        <w:tc>
          <w:tcPr>
            <w:tcW w:w="6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our executive officers as of February 14, 2025:</w:t>
            </w:r>
          </w:p>
        </w:tc>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89"/>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420" w:type="dxa"/>
            <w:vAlign w:val="bottom"/>
            <w:gridSpan w:val="2"/>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4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 Held</w:t>
            </w:r>
          </w:p>
        </w:tc>
      </w:tr>
      <w:tr>
        <w:trPr>
          <w:trHeight w:val="27"/>
        </w:trPr>
        <w:tc>
          <w:tcPr>
            <w:tcW w:w="36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980" w:type="dxa"/>
            <w:vAlign w:val="bottom"/>
          </w:tcPr>
          <w:p>
            <w:pPr>
              <w:spacing w:after="0"/>
              <w:rPr>
                <w:sz w:val="2"/>
                <w:szCs w:val="2"/>
                <w:color w:val="auto"/>
              </w:rPr>
            </w:pPr>
          </w:p>
        </w:tc>
      </w:tr>
      <w:tr>
        <w:trPr>
          <w:trHeight w:val="144"/>
        </w:trPr>
        <w:tc>
          <w:tcPr>
            <w:tcW w:w="36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Executive Chairman of the Board, Chief Business Development Officer, and</w:t>
            </w:r>
          </w:p>
        </w:tc>
      </w:tr>
      <w:tr>
        <w:trPr>
          <w:trHeight w:val="180"/>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 Zandman*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63</w:t>
            </w:r>
          </w:p>
        </w:tc>
        <w:tc>
          <w:tcPr>
            <w:tcW w:w="14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President, Vishay Israel Ltd.</w:t>
            </w:r>
          </w:p>
        </w:tc>
      </w:tr>
      <w:tr>
        <w:trPr>
          <w:trHeight w:val="162"/>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Joel Smejkal*</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58</w:t>
            </w:r>
          </w:p>
        </w:tc>
        <w:tc>
          <w:tcPr>
            <w:tcW w:w="142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r>
      <w:tr>
        <w:trPr>
          <w:trHeight w:val="162"/>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McConnell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58</w:t>
            </w:r>
          </w:p>
        </w:tc>
        <w:tc>
          <w:tcPr>
            <w:tcW w:w="14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44"/>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6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Executive Vice President - Chief Operating Officer - Semiconductors and Chief</w:t>
            </w:r>
          </w:p>
        </w:tc>
      </w:tr>
      <w:tr>
        <w:trPr>
          <w:trHeight w:val="180"/>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Roy Shoshani</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1420" w:type="dxa"/>
            <w:vAlign w:val="bottom"/>
          </w:tcPr>
          <w:p>
            <w:pPr>
              <w:spacing w:after="0"/>
              <w:rPr>
                <w:sz w:val="15"/>
                <w:szCs w:val="15"/>
                <w:color w:val="auto"/>
              </w:rPr>
            </w:pPr>
          </w:p>
        </w:tc>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Technical Officer</w:t>
            </w:r>
          </w:p>
        </w:tc>
      </w:tr>
      <w:tr>
        <w:trPr>
          <w:trHeight w:val="162"/>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Peter Henrici</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69</w:t>
            </w:r>
          </w:p>
        </w:tc>
        <w:tc>
          <w:tcPr>
            <w:tcW w:w="14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 Corporate Development</w:t>
            </w:r>
          </w:p>
        </w:tc>
      </w:tr>
      <w:tr>
        <w:trPr>
          <w:trHeight w:val="144"/>
        </w:trPr>
        <w:tc>
          <w:tcPr>
            <w:tcW w:w="478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color w:val="auto"/>
              </w:rPr>
              <w:t>Michael O'Sullivan</w:t>
            </w:r>
          </w:p>
        </w:tc>
        <w:tc>
          <w:tcPr>
            <w:tcW w:w="2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50</w:t>
            </w:r>
          </w:p>
        </w:tc>
        <w:tc>
          <w:tcPr>
            <w:tcW w:w="1420" w:type="dxa"/>
            <w:vAlign w:val="bottom"/>
          </w:tcPr>
          <w:p>
            <w:pPr>
              <w:spacing w:after="0"/>
              <w:rPr>
                <w:sz w:val="12"/>
                <w:szCs w:val="12"/>
                <w:color w:val="auto"/>
              </w:rPr>
            </w:pPr>
          </w:p>
        </w:tc>
        <w:tc>
          <w:tcPr>
            <w:tcW w:w="486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Executive Vice President - Chief Administrative and Legal Officer</w:t>
            </w:r>
          </w:p>
        </w:tc>
      </w:tr>
      <w:tr>
        <w:trPr>
          <w:trHeight w:val="188"/>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Member of the Executive Committee of the Board of Directors.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Marc Zandman was appointed Executive Chairman of the Board and Chief Business Development Officer effective June 5, 2011. Mr. Zandman has served as a Director of Vishay since 2001 and President of Vishay Israel Ltd. since 1998. Mr. Zandman previously was Vice Chairman of the Board from 2003 to June 2011, and Chief Administration Officer from 2007 to June 2011. Mr. Zandman was Group Vice President of Vishay Measurements Group from 2002 to 2004. Mr. Zandman has served in various other capacities with Vishay since 1984. He is the son of the late Dr. Felix Zandman, Vishay’s Founder. Mr. Zandman controls, on a shared basis with Ruta Zandman and Ziv Shoshani, approximately 35% of the total voting power of our capital stock as of December 31, 2024. He also serves on the Board of Directors of Vishay Precision Group, Inc., an independent, publicly-traded company spun-off from Vishay Intertechnology in 2010 (including as non-executive Chair from 2010 - 2022).</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Joel Smejkal was appointed President and Chief Executive Officer effective January 1, 2023. Mr. Smejkal served as Executive Vice President, Corporate Business Development from 2020-2022. He has held various positions of increasing responsibility since joining Vishay in 1990, including Executive Vice President, Business Head Passive Components (2017-2020) and Senior Vice President Global Distribution Sales (2012-2016). His experience with Vishay includes worldwide and divisional leadership roles in engineering, marketing, operations, and sales.</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David McConnell was appointed Executive Vice President and Chief Financial Officer of the Company effective March 1, 2024. Mr. McConnell has held various positions of increasing responsibility since joining Vishay in 1992, including Senior Vice President - Corporate Treasurer and Risk Management from 2016-2024, and responsibility for corporate treasury since 2011.</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Roy Shoshani was appointed Executive Vice President – Chief Operating Officer – Semiconductors and Chief Technical Officer effective January 13, 2025. Mr. Shoshani has held various positions of increasing responsibility since joining Vishay in 2004, including Executive Vice President – Chief Technical Officer (2023-2025), Deputy to the Chief Technical Officer (2021-2022), Vice President Integrated Circuits Division (2009-2022), and Vice President R&amp;D – Semiconductors (2019-2021). Prior to joining Vishay, Mr. Shoshani worked for Harmonic. Mr. Shoshani’s experience with Vishay includes divisional leadership roles in R&amp;D, marketing, business development and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Peter Henrici was appointed Executive Vice President – Corporate Development effective January 1, 2023 and has served as Corporate Secretary since 2012. Mr. Henrici has held various positions in marketing communications, investor relations, and corporate treasury departments since joining Vishay in 1998. Mr. Henrici has been responsible for corporate communications since 2005.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Michael O'Sullivan was appointed Executive Vice President - Chief Administrative and Legal Officer effective January 1, 2024. Mr. O’Sullivan previously served as Corporate General Counsel since joining the Company in 2012. In July 2016, Mr. O'Sullivan was appointed Regional Country Manager - The Americas. Prior to joining Vishay, Mr. O'Sullivan worked as an in-house corporate attorney for a subsidiary of Koch Industries, Inc., and in private practice at DLA Piper.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29" w:name="page30"/>
    <w:bookmarkEnd w:id="29"/>
    <w:p>
      <w:pPr>
        <w:ind w:left="5380"/>
        <w:spacing w:after="0"/>
        <w:rPr>
          <w:sz w:val="20"/>
          <w:szCs w:val="20"/>
          <w:color w:val="auto"/>
        </w:rPr>
      </w:pPr>
      <w:r>
        <w:rPr>
          <w:rFonts w:ascii="Times New Roman" w:cs="Times New Roman" w:eastAsia="Times New Roman" w:hAnsi="Times New Roman"/>
          <w:sz w:val="14"/>
          <w:szCs w:val="14"/>
          <w:b w:val="1"/>
          <w:bCs w:val="1"/>
          <w:u w:val="single" w:color="auto"/>
          <w:color w:val="auto"/>
        </w:rPr>
        <w:t>PART II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5.  MARKET FOR REGISTRANT'S COMMON EQUITY, RELATED STOCKHOLDER MATTERS, AND ISSUER PURCHASES OF EQUITY SECURITIES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VSH. The following table sets forth the high and low sales prices for our common stock as reported on the New York Stock Exchange composite tape for the indicated fiscal quarters. Holders of record of our common stock totaled approximately 1,000 at February 12, 2025. Because many of the shares of our common stock are held by brokers and other institutions on behalf of stockholders, we are unable to estimate the total number of beneficial owners represented by these stockholders of record.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2014, the Company's Board of Directors instituted a quarterly cash dividend program and declared the first cash dividend in the history of Vishay. Quarterly cash dividends have been paid in each quarter since the first fiscal quarter of 2014. We expect to continue to pay quarterly dividends, although the amount and timing of any future dividends remains subject to authorization of our Board of Directors.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for the indicated periods, the high and low sales prices of our common stock and the quarterly cash dividends declared.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 price range</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Dividends declared</w:t>
            </w:r>
          </w:p>
        </w:tc>
      </w:tr>
      <w:tr>
        <w:trPr>
          <w:trHeight w:val="160"/>
        </w:trPr>
        <w:tc>
          <w:tcPr>
            <w:tcW w:w="3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3"/>
                <w:szCs w:val="13"/>
                <w:color w:val="auto"/>
              </w:rPr>
            </w:pPr>
          </w:p>
        </w:tc>
        <w:tc>
          <w:tcPr>
            <w:tcW w:w="9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3"/>
                <w:szCs w:val="13"/>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20.15</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14.95</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25.22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21.15</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24.69</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17.42</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30.10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24.03</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24.19</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20.83</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29.66</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20.57</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23.92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20.93</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24.48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20.51</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r>
    </w:tbl>
    <w:p>
      <w:pPr>
        <w:spacing w:after="0" w:line="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At February 12, 2025, we had outstanding 12,097,148 shares of Class B common stock, par value $0.10 per share, each of which entitles the holder to ten votes. The Class B common stock generally is not transferable except in certain very limited instances, and there is no market for those shares. The Class B common stock is convertible, at the option of the holder, into common stock on a share for share basis. As a result of the passing of our founder and former Executive Chairman, Dr. Felix Zandman, Mrs. Ruta Zandman (a member of our Board of Directors) controls the voting of, solely or on a shared basis with Marc Zandman (our Executive Chairman) and Ziv Shoshani (a member of our Board of Directors) approximately 89.7% of our Class B common stock and 44.4% of the total voting power of our capital stock as of December 31, 2024.</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Certain of our debt obligations contain restrictions as to the payment of cash dividends. See "Financial Condition, Liquidity, and Capital Resources" included in Item 7, "Management's Discussion and Analysis of Financial Condition and Results of Operations."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2022, our Board of Directors adopted a Stockholder Return Policy that will remain in effect until such time as the Board votes to amend or rescind the policy. The Stockholder Return Policy calls for us to return a prescribed amount of cash flows on an annual basis. We intend to return such amounts directly, in the form of dividends, or indirectly, in the form of stock repurchases. We paid $54.7 million of dividends to stockholders and repurchased $50.4 million of our stock pursuant to the Stockholder Return Policy in 2024.</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enable the operation of the Stockholder Return Policy, Vishay's Board of Directors approves the repurchase of a stated number of shares of common stock from time-to-time. As of September 28, 2024, approximately 1.2 million shares remained from the previous repurchase authorization of 8.5 million shares. On December 3, 2024, Vishay's Board of Directors approved the repurchase of an additional 3.0 million shares of common stock, to enable the operation of the Stockholder Return Policy for the foreseeable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regarding repurchases of our common stock during the fiscal quarter ended December 31,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62"/>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Dollar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62"/>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62"/>
        </w:trPr>
        <w:tc>
          <w:tcPr>
            <w:tcW w:w="46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(including</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Under</w:t>
            </w:r>
          </w:p>
        </w:tc>
      </w:tr>
      <w:tr>
        <w:trPr>
          <w:trHeight w:val="182"/>
        </w:trPr>
        <w:tc>
          <w:tcPr>
            <w:tcW w:w="46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120" w:type="dxa"/>
            <w:vAlign w:val="bottom"/>
          </w:tcPr>
          <w:p>
            <w:pPr>
              <w:spacing w:after="0"/>
              <w:rPr>
                <w:sz w:val="15"/>
                <w:szCs w:val="15"/>
                <w:color w:val="auto"/>
              </w:rPr>
            </w:pPr>
          </w:p>
        </w:tc>
      </w:tr>
      <w:tr>
        <w:trPr>
          <w:trHeight w:val="160"/>
        </w:trPr>
        <w:tc>
          <w:tcPr>
            <w:tcW w:w="4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spacing w:after="0"/>
              <w:rPr>
                <w:sz w:val="13"/>
                <w:szCs w:val="13"/>
                <w:color w:val="auto"/>
              </w:rPr>
            </w:pPr>
          </w:p>
        </w:tc>
        <w:tc>
          <w:tcPr>
            <w:tcW w:w="13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16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29 - October 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479,969</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18.19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479,969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8,728,358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700,084</w:t>
            </w:r>
          </w:p>
        </w:tc>
      </w:tr>
      <w:tr>
        <w:trPr>
          <w:trHeight w:val="162"/>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October 27 - November 23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220,413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220,413</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3,893,706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479,671</w:t>
            </w:r>
          </w:p>
        </w:tc>
      </w:tr>
      <w:tr>
        <w:trPr>
          <w:trHeight w:val="16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November 24 - December 31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3,479,671</w:t>
            </w:r>
          </w:p>
        </w:tc>
      </w:tr>
      <w:tr>
        <w:trPr>
          <w:trHeight w:val="20"/>
        </w:trPr>
        <w:tc>
          <w:tcPr>
            <w:tcW w:w="46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700,382</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18.02</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700,382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12,622,064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3,479,671</w:t>
            </w:r>
          </w:p>
        </w:tc>
      </w:tr>
      <w:tr>
        <w:trPr>
          <w:trHeight w:val="20"/>
        </w:trPr>
        <w:tc>
          <w:tcPr>
            <w:tcW w:w="4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fourth fiscal quarter of 2024, we repurchased $53.2 million of our convertible senior notes due 2025. The aggregate purchase price for the repurchases was $53.4 million.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line graph below compares the cumulative total stockholder return on Vishay’s common stock over a 5-year period with the returns on the Standard &amp; Poor’s MidCap 400 Stock Index, the Standard &amp; Poor's SmallCap 600 Index (of which Vishay is a component), the Standard &amp; Poor’s 500 Stock Index, and the Philadelphia Semiconductor Index. The line graph assumes that $100 had been invested at December 31, 2019 and assumes that all dividends were reinvested.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9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Base</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30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9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2"/>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940" w:type="dxa"/>
            <w:vAlign w:val="bottom"/>
            <w:tcBorders>
              <w:bottom w:val="single" w:sz="8" w:color="auto"/>
            </w:tcBorders>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92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42"/>
        </w:trPr>
        <w:tc>
          <w:tcPr>
            <w:tcW w:w="3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tc>
        <w:tc>
          <w:tcPr>
            <w:tcW w:w="194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99.48</w:t>
            </w:r>
          </w:p>
        </w:tc>
        <w:tc>
          <w:tcPr>
            <w:tcW w:w="92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106.90</w:t>
            </w:r>
          </w:p>
        </w:tc>
        <w:tc>
          <w:tcPr>
            <w:tcW w:w="142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8"/>
              </w:rPr>
              <w:t>107.61</w:t>
            </w:r>
          </w:p>
        </w:tc>
        <w:tc>
          <w:tcPr>
            <w:tcW w:w="12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121.56</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87.59</w:t>
            </w: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500 Index</w:t>
            </w:r>
          </w:p>
        </w:tc>
        <w:tc>
          <w:tcPr>
            <w:tcW w:w="19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118.40</w:t>
            </w:r>
          </w:p>
        </w:tc>
        <w:tc>
          <w:tcPr>
            <w:tcW w:w="9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152.39</w:t>
            </w:r>
          </w:p>
        </w:tc>
        <w:tc>
          <w:tcPr>
            <w:tcW w:w="14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98"/>
              </w:rPr>
              <w:t>124.79</w:t>
            </w: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157.59</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197.02</w:t>
            </w: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S&amp;P MidCap 400 Index</w:t>
            </w:r>
          </w:p>
        </w:tc>
        <w:tc>
          <w:tcPr>
            <w:tcW w:w="194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113.66</w:t>
            </w:r>
          </w:p>
        </w:tc>
        <w:tc>
          <w:tcPr>
            <w:tcW w:w="92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141.80</w:t>
            </w:r>
          </w:p>
        </w:tc>
        <w:tc>
          <w:tcPr>
            <w:tcW w:w="142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8"/>
              </w:rPr>
              <w:t>123.28</w:t>
            </w:r>
          </w:p>
        </w:tc>
        <w:tc>
          <w:tcPr>
            <w:tcW w:w="12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143.54</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163.54</w:t>
            </w: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SmallCap 600 Index</w:t>
            </w:r>
          </w:p>
        </w:tc>
        <w:tc>
          <w:tcPr>
            <w:tcW w:w="19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111.29</w:t>
            </w:r>
          </w:p>
        </w:tc>
        <w:tc>
          <w:tcPr>
            <w:tcW w:w="9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141.13</w:t>
            </w:r>
          </w:p>
        </w:tc>
        <w:tc>
          <w:tcPr>
            <w:tcW w:w="14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98"/>
              </w:rPr>
              <w:t>118.41</w:t>
            </w: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137.42</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149.37</w:t>
            </w: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Philadelphia Semiconductor Index</w:t>
            </w:r>
          </w:p>
        </w:tc>
        <w:tc>
          <w:tcPr>
            <w:tcW w:w="194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153.66</w:t>
            </w:r>
          </w:p>
        </w:tc>
        <w:tc>
          <w:tcPr>
            <w:tcW w:w="92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219.51</w:t>
            </w:r>
          </w:p>
        </w:tc>
        <w:tc>
          <w:tcPr>
            <w:tcW w:w="142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8"/>
              </w:rPr>
              <w:t>142.94</w:t>
            </w:r>
          </w:p>
        </w:tc>
        <w:tc>
          <w:tcPr>
            <w:tcW w:w="12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238.72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274320</wp:posOffset>
            </wp:positionV>
            <wp:extent cx="3429000" cy="2057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6.  RESERVED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31" w:name="page32"/>
    <w:bookmarkEnd w:id="31"/>
    <w:p>
      <w:pPr>
        <w:spacing w:after="0"/>
        <w:tabs>
          <w:tab w:leader="none" w:pos="540" w:val="left"/>
        </w:tabs>
        <w:rPr>
          <w:sz w:val="20"/>
          <w:szCs w:val="20"/>
          <w:color w:val="auto"/>
        </w:rPr>
      </w:pPr>
      <w:r>
        <w:rPr>
          <w:rFonts w:ascii="Times New Roman" w:cs="Times New Roman" w:eastAsia="Times New Roman" w:hAnsi="Times New Roman"/>
          <w:sz w:val="14"/>
          <w:szCs w:val="14"/>
          <w:b w:val="1"/>
          <w:bCs w:val="1"/>
          <w:u w:val="single" w:color="auto"/>
          <w:color w:val="auto"/>
        </w:rPr>
        <w:t>Item 7.</w:t>
        <w:tab/>
        <w:t>MANAGEMENT'S DISCUSSION AND ANALYSIS OF FINANCIAL CONDITION AND RESULTS OF OPERATIONS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This Management's Discussion and Analysis (“MD&amp;A”) is intended to provide an understanding of Vishay's financial condition, results of operations and cash flows by focusing on changes in certain key measures from year to year. The MD&amp;A should be read in conjunction with our Consolidated Financial Statements and accompanying Notes filed herewith, commencing on page F-1 of this report.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Intertechnology, Inc. ("Vishay," "we," "us," or "our") manufactures one of the world’s largest portfolios of discrete semiconductors and passive electronic components that are essential to innovative designs in the automotive, industrial, computing, consumer, telecommunications, military, aerospace, and medical markets.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in six segments based on product functionality: MOSFETs, Diodes, Optoelectronic Components, Resistors, Inductors, and Capacitors.</w:t>
      </w:r>
    </w:p>
    <w:p>
      <w:pPr>
        <w:spacing w:after="0" w:line="1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focused on enhancing stockholder value by growing our business and improving earnings per share. Since 1985, we have pursued a business strategy of growth through focused research and development and acquisitions. We plan to continue to grow our business through intensified internal growth supplemented by opportunistic acquisitions, while maintaining a prudent capital structure. To drive growth and optimize stockholder value, we plan to capitalize on the mega trends of e-mobility, sustainability, and connectivity through initiatives. We are developing go-to-market strategies and investing in and expanding the key product lines for growth that we have identified. In addition, we are strategically expanding our outsourced production of commodity products to subcontractors. At the same time, we are enhancing our channel management while investing in internal resources by adding customer-facing engineers and filling gaps in technology and market coverage. Taken together, each of these initiatives supports our Think Customer First organizational structure. To increase our internal capacity, we had planned to invest approximately $435 million in 2024. The industry recovery has been slower than expected. Accordingly, we adjusted our timetable for investments for our new 12-inch wafer fab in Itzehoe, Germany beyond 2024 and invested $320 for capital expenditures in 2024. We remain committed to our long-term plan of increasing Vishay's capacity, to assure our customers of reliable volume as they scale. We have and will continue to modulate the amount and timing of our capital expenditures in response to order flow and the timing of customer demand and qualifications. The decreased lead time for equipment and the increased subcontractor capacity are also variables that allow us to adjust our capacity spending.</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March 5, 2024, we completed the acquisition of Nexperia’s wafer fabrication facility and operations located in Newport, South Wales, U.K. for approximately $177.5 million in cash, net of cash acquired. The wafer fabrication facility is located on 28 acres and is an automotive-certified, 200mm semiconductor wafer fab with capacity to produce more than 30,000 wafers per month. We plan to position the facility as a manufacturing excellence center and use it as the home for MaxPower to further develop and scale our SiC MOSFETs and diodes capabilities. The facility has generated a net loss and we expect the facility to continue to generate a net loss while we invest in new equipment and qualify new products.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addition to enhancing stockholder value through growing our business, in 2022, our Board of Directors adopted a Stockholder Return Policy, which calls for us to return at least 70% of free cash flow, net of scheduled principal payments of long-term debt, on an annual basis. See further discussion in “Stockholder Return Policy” below.</w:t>
      </w:r>
    </w:p>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business and operating results have been and will continue to be impacted by worldwide economic conditions. Our revenues are dependent on end markets that are impacted by consumer and industrial demand, and our operating results can be adversely affected by reduced demand in those global markets. In this volatile economic environment, we continue to closely monitor our fixed costs, capital expenditure plans, inventory, and capital resources to respond to changing conditions and to ensure we have the management, business processes, and resources to meet our future needs. We believe we can react quickly and professionally to changes in demand to minimize manufacturing inefficiencies and excess inventory build in periods of decline and maximize opportunities in periods of growth. We implemented restructuring actions in the third fiscal quarter of 2024 designed to optimize our manufacturing footprint and streamline business decision making. We believe we have significant liquidity to withstand temporary disruptions in the economic environment. See additional information regarding our competitive strengths and key challenges as disclosed in Part I.</w:t>
      </w:r>
    </w:p>
    <w:p>
      <w:pPr>
        <w:spacing w:after="0" w:line="2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utilize several financial metrics, including net revenues, gross profit margin, segment operating income, end-of-period backlog, book-to-bill ratio, inventory turnover, change in average selling prices, net cash and short-term investments (debt), and free cash generation to evaluate the performance and assess the future direction of our business. See further discussion in “Financial Metrics” and “Financial Condition, Liquidity, and Capital Resources” below. The key financial metrics decreased in the fourth fiscal quarter of 2024 primarily due to the negative impacts of an on-going distributor inventory correction that resulted in lower orders. Net revenues and margins decreased versus the prior year period primarily due to lower volume and decreased average selling prices.</w:t>
      </w:r>
    </w:p>
    <w:p>
      <w:pPr>
        <w:spacing w:after="0" w:line="2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revenues for the year ended December 31, 2024 were $2.938 billion, compared to net revenues of $3.402 billion and $3.497 billion for the years ended December 31, 2023 and 2022, respectively. The net loss attributable to Vishay stockholders for the year ended December 31, 2024 was $(31.2) million, or $(0.23) per share, compared to net earnings of $323.8 million, or $2.31 per diluted share, and $428.8 million, or $2.98 per diluted share, for the years ended December 31, 2023 and 2022, respectively.</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define adjusted net earnings as net earnings (loss) determined in accordance with GAAP adjusted for various items that management believes are not indicative of the intrinsic operating performance of our business. We define free cash as the cash flows generated from continuing operations less capital expenditures plus net proceeds from the sale of property and equipment. The reconciliations below include certain financial measures which are not recognized in accordance with GAAP, including adjusted net earnings, adjusted earnings per share, and free cash. These non-GAAP measures should not be viewed as alternatives to GAAP measures of performance or liquidity. Non-GAAP measures such as adjusted net earnings, adjusted earnings per share, and free cash do not have uniform definitions. These measures, as calculated by Vishay, may not be comparable to similarly titled measures used by other companies. Management believes that adjusted net earnings and adjusted earnings per share are meaningful because they provide insight with respect to our intrinsic operating results. Management believes that free cash is a meaningful measure of our ability to fund acquisitions, repay debt, and otherwise enhance stockholder value through stock repurchases or dividends.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32" w:name="page33"/>
    <w:bookmarkEnd w:id="32"/>
    <w:p>
      <w:pPr>
        <w:jc w:val="both"/>
        <w:ind w:right="20"/>
        <w:spacing w:after="0" w:line="285" w:lineRule="auto"/>
        <w:rPr>
          <w:sz w:val="20"/>
          <w:szCs w:val="20"/>
          <w:color w:val="auto"/>
        </w:rPr>
      </w:pPr>
      <w:r>
        <w:rPr>
          <w:rFonts w:ascii="Times New Roman" w:cs="Times New Roman" w:eastAsia="Times New Roman" w:hAnsi="Times New Roman"/>
          <w:sz w:val="14"/>
          <w:szCs w:val="14"/>
          <w:color w:val="auto"/>
        </w:rPr>
        <w:t xml:space="preserve">Net earnings attributable to Vishay stockholders for the years ended December 31, 2024, 2023, and 2022 include items affecting comparability. The items affecting comparability are </w:t>
      </w:r>
      <w:r>
        <w:rPr>
          <w:rFonts w:ascii="Times New Roman" w:cs="Times New Roman" w:eastAsia="Times New Roman" w:hAnsi="Times New Roman"/>
          <w:sz w:val="14"/>
          <w:szCs w:val="14"/>
          <w:i w:val="1"/>
          <w:iCs w:val="1"/>
          <w:color w:val="auto"/>
        </w:rPr>
        <w:t>(in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thousands, except per share amounts)</w:t>
      </w:r>
      <w:r>
        <w:rPr>
          <w:rFonts w:ascii="Times New Roman" w:cs="Times New Roman" w:eastAsia="Times New Roman" w:hAnsi="Times New Roman"/>
          <w:sz w:val="14"/>
          <w:szCs w:val="14"/>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0"/>
        </w:trPr>
        <w:tc>
          <w:tcPr>
            <w:tcW w:w="2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r>
      <w:tr>
        <w:trPr>
          <w:trHeight w:val="142"/>
        </w:trPr>
        <w:tc>
          <w:tcPr>
            <w:tcW w:w="2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net earnings (loss) attributable to Vishay stockholders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(31,150)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323,820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428,810</w:t>
            </w:r>
          </w:p>
        </w:tc>
      </w:tr>
      <w:tr>
        <w:trPr>
          <w:trHeight w:val="144"/>
        </w:trPr>
        <w:tc>
          <w:tcPr>
            <w:tcW w:w="2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32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Reconciling items affecting gross profit:</w:t>
            </w:r>
          </w:p>
        </w:tc>
        <w:tc>
          <w:tcPr>
            <w:tcW w:w="5020" w:type="dxa"/>
            <w:vAlign w:val="bottom"/>
            <w:tcBorders>
              <w:bottom w:val="single" w:sz="8" w:color="CCEEFF"/>
            </w:tcBorders>
            <w:gridSpan w:val="4"/>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62"/>
        </w:trPr>
        <w:tc>
          <w:tcPr>
            <w:tcW w:w="73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Impact of COVID-19 pandemic</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6,661</w:t>
            </w:r>
          </w:p>
        </w:tc>
      </w:tr>
      <w:tr>
        <w:trPr>
          <w:trHeight w:val="144"/>
        </w:trPr>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2980" w:type="dxa"/>
            <w:vAlign w:val="bottom"/>
            <w:tcBorders>
              <w:bottom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color w:val="auto"/>
              </w:rPr>
              <w:t>Other reconciling items affecting operating income:</w:t>
            </w:r>
          </w:p>
        </w:tc>
        <w:tc>
          <w:tcPr>
            <w:tcW w:w="43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66,487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Restructuring and severance costs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40,614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COVID-19 pandemic</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546</w:t>
            </w:r>
          </w:p>
        </w:tc>
      </w:tr>
      <w:tr>
        <w:trPr>
          <w:trHeight w:val="144"/>
        </w:trPr>
        <w:tc>
          <w:tcPr>
            <w:tcW w:w="2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34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Reconciling items affecting other income (expense):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30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43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18,874</w:t>
            </w:r>
          </w:p>
        </w:tc>
        <w:tc>
          <w:tcPr>
            <w:tcW w:w="24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734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color w:val="auto"/>
              </w:rPr>
              <w:t>Reconciling items affecting tax expense (benefit):</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Effects of changes in uncertain tax positions</w:t>
            </w:r>
          </w:p>
        </w:tc>
        <w:tc>
          <w:tcPr>
            <w:tcW w:w="4480" w:type="dxa"/>
            <w:vAlign w:val="bottom"/>
            <w:gridSpan w:val="3"/>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(5,941)</w:t>
            </w:r>
          </w:p>
        </w:tc>
      </w:tr>
      <w:tr>
        <w:trPr>
          <w:trHeight w:val="162"/>
        </w:trPr>
        <w:tc>
          <w:tcPr>
            <w:tcW w:w="73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Effects of changes in valuation allowances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(33,669)</w:t>
            </w:r>
          </w:p>
        </w:tc>
      </w:tr>
      <w:tr>
        <w:trPr>
          <w:trHeight w:val="162"/>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change in indefinite reversal assertion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59,642</w:t>
            </w:r>
          </w:p>
        </w:tc>
      </w:tr>
      <w:tr>
        <w:trPr>
          <w:trHeight w:val="162"/>
        </w:trPr>
        <w:tc>
          <w:tcPr>
            <w:tcW w:w="73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Tax effects of pre-tax items above</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(10,299)</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(498)</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(1,802)</w:t>
            </w:r>
          </w:p>
        </w:tc>
      </w:tr>
      <w:tr>
        <w:trPr>
          <w:trHeight w:val="200"/>
        </w:trPr>
        <w:tc>
          <w:tcPr>
            <w:tcW w:w="73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net earnings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65,652</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342,196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454,247</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2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r>
      <w:tr>
        <w:trPr>
          <w:trHeight w:val="162"/>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weighted average diluted shares outstanding</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137,741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140,246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145,495</w:t>
            </w:r>
          </w:p>
        </w:tc>
      </w:tr>
      <w:tr>
        <w:trPr>
          <w:trHeight w:val="144"/>
        </w:trPr>
        <w:tc>
          <w:tcPr>
            <w:tcW w:w="2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earnings per diluted share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3.16</w:t>
            </w: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242424"/>
        </w:rPr>
        <w:t xml:space="preserve">The following table reconciles gross profit by segment to consolidated gross profit. Direct costs of the COVID-19 pandemic are not allocated to the segments as the chief operating decision maker's evaluation of segment performance does not include these costs </w:t>
      </w:r>
      <w:r>
        <w:rPr>
          <w:rFonts w:ascii="Times New Roman" w:cs="Times New Roman" w:eastAsia="Times New Roman" w:hAnsi="Times New Roman"/>
          <w:sz w:val="14"/>
          <w:szCs w:val="14"/>
          <w:i w:val="1"/>
          <w:iCs w:val="1"/>
          <w:color w:val="242424"/>
        </w:rPr>
        <w:t>(in thousands)</w:t>
      </w:r>
      <w:r>
        <w:rPr>
          <w:rFonts w:ascii="Times New Roman" w:cs="Times New Roman" w:eastAsia="Times New Roman" w:hAnsi="Times New Roman"/>
          <w:sz w:val="14"/>
          <w:szCs w:val="14"/>
          <w:color w:val="242424"/>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60"/>
        </w:trPr>
        <w:tc>
          <w:tcPr>
            <w:tcW w:w="7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MOSFETS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87,101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259,386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274,498</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Diodes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121,162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175,621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198,105</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Optoelectronic Components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38,252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62,226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102,787</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Resistors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158,958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238,428</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262,072</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107,080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112,414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104,349</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Capacitors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113,739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126,418</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123,839</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Unallocated gross profit (loss)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(6,661)</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626,292</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974,493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1,058,989</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 xml:space="preserve">Although the term "free cash" is not defined in GAAP, each of the elements used to calculate free cash is presented as a line item on the face of our consolidated statements of cash flows prepared in accordance with GAAP. Our free cash results are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continuing operating activities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173,702</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365,703</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484,288</w:t>
            </w:r>
          </w:p>
        </w:tc>
        <w:tc>
          <w:tcPr>
            <w:tcW w:w="120" w:type="dxa"/>
            <w:vAlign w:val="bottom"/>
            <w:shd w:val="clear" w:color="auto" w:fill="CCEEFF"/>
          </w:tcPr>
          <w:p>
            <w:pPr>
              <w:spacing w:after="0"/>
              <w:rPr>
                <w:sz w:val="13"/>
                <w:szCs w:val="13"/>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3,015</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1,156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1,198</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Capital expenditures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(320,079)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(329,410)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(325,308)</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Free cash</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(143,362)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37,449</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160,178</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Orders are lower due to a distributor inventory correction that took longer than expected and continued through 2024. The long-term outlook for our business remains strong, although our results are weaker than prior year results.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free cash results were significantly impacted by the installment payments of the U.S. transition tax of $37.6 million in 2024, $27.7 million in 2023, and $14.8 million in 2022, respectively, and payments of foreign, withholding, and claw-back cash taxes of $15.0 million in 2024, $63.6 million in 2023, and $25.2 million in 2022 on foreign earnings of $105.0 million, $276.8 million, and $81.2 million (net of taxes) that were repatriated to the U.S. in 2024, 2023, and 2022,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Growth and Company Transformation Initiatives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Effective January 1, 2023, a new executive leadership team, promoted from within, embarked on a new era at Vishay ("Vishay 3.0"). The new executive management team laid out a three-year plan to expand capacity to support our highest growth and highest return product lines and to position Vishay to be ready for the next phase of megatrends in e-mobility, sustainability, and connectivity. The year 2023 was generally seen as the staging year for this plan, and all elements of the plan have progressed throughout the organization. In 2024, many of these initiatives advanced and increased manufacturing capacity was available. Beginning in early 2025, we expect to be in a better position to capture the next step in the growing demand for electrification in our key end-markets.</w:t>
      </w:r>
    </w:p>
    <w:p>
      <w:pPr>
        <w:spacing w:after="0" w:line="2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focus this growth, we have identified product lines for growth across each reportable segment. Most of these product lines serve multiple end-market segments, applications, and business channels. We have developed go-to market strategies for each one of these product lines, concentrating our resources on improving the technical performance of certified and custom products, to better position Vishay to support the mega trends toward electrification and data communications.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eight strategic levers being used to achieve our goals in "Key Business Strategies" in Item 1.</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All of this is being done as we implement organizational and structural change at Vishay, focused on a “Think Customer First” philosophy, and becoming a more responsive company. We are fostering collaboration internally and externally, particularly in the functions connected to customer programs. To facilitate that change internally, we re-designed our short- and long-term incentive plans to align the performance of about 1,000 key employees with Company growth and profitability objectives and stockholder interests. The equity-based plan was approved by our stockholders at our 2023 annual meeting.</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These Vishay 3.0 initiatives are the foundation for our ambitions to unleash the potential at Vishay, realizing the full value of our broad product portfolio and becoming a customer-first company, and for our goals of driving top line growth, expanding margins and optimizing returns.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Stockholder Return Policy</w:t>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 2022, our Board of Directors adopted a Stockholder Return Policy, which calls for us to return at least 70% of free cash flow, net of scheduled principal payments of long-term debt, on an annual basis. We intend to return such amounts to stockholders directly, in the form of dividends, or indirectly, in the form of stock repurchases.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activity pursuant to this policy </w:t>
            </w: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6"/>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8580" w:type="dxa"/>
            <w:vAlign w:val="bottom"/>
          </w:tcPr>
          <w:p>
            <w:pPr>
              <w:spacing w:after="0"/>
              <w:rPr>
                <w:sz w:val="15"/>
                <w:szCs w:val="15"/>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500" w:type="dxa"/>
            <w:vAlign w:val="bottom"/>
            <w:tcBorders>
              <w:top w:val="single" w:sz="8" w:color="auto"/>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54,672</w:t>
            </w:r>
          </w:p>
        </w:tc>
        <w:tc>
          <w:tcPr>
            <w:tcW w:w="120" w:type="dxa"/>
            <w:vAlign w:val="bottom"/>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55,626</w:t>
            </w:r>
          </w:p>
        </w:tc>
        <w:tc>
          <w:tcPr>
            <w:tcW w:w="120" w:type="dxa"/>
            <w:vAlign w:val="bottom"/>
            <w:shd w:val="clear" w:color="auto" w:fill="CCEEFF"/>
          </w:tcPr>
          <w:p>
            <w:pPr>
              <w:spacing w:after="0"/>
              <w:rPr>
                <w:sz w:val="13"/>
                <w:szCs w:val="13"/>
                <w:color w:val="auto"/>
              </w:rPr>
            </w:pPr>
          </w:p>
        </w:tc>
      </w:tr>
      <w:tr>
        <w:trPr>
          <w:trHeight w:val="16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Stock repurchases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50,406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78,684</w:t>
            </w:r>
          </w:p>
        </w:tc>
      </w:tr>
      <w:tr>
        <w:trPr>
          <w:trHeight w:val="200"/>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105,078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134,310</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have determined that substantially all unremitted foreign earnings in Germany and Israel are no longer indefinitely reinvested. These indefinite reinvestment assertions provide greater access to our worldwide cash balances to fund our growth plan and our Stockholder Return Policy, but also negatively impact our effective tax rate.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structure of our Stockholder Return Policy enables us to allocate capital responsibly among our business, our lenders, and our stockholders. We will continue to invest in growth initiatives including key product line expansions, targeted R&amp;D, and synergistic acquisitions.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paid dividends each quarter since the first quarter of 2014, and the Stockholder Return Policy will remain in effect until such time as the Board votes to amend or rescind the policy. Implementation of the Stockholder Return Policy is subject to future declarations of dividends by the Board of Directors, market and business conditions, legal requirements, and other factors. The policy sets forth our intention, but does not obligate us to acquire any shares of common stock or declare any dividends, and the policy may be terminated or suspended at any time at our discretion, in accordance with applicable laws and regulations.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Financial Metrics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utilize several financial metrics to evaluate the performance and assess the future direction of our business. These key financial measures and metrics include net revenues, gross profit margin, operating margin, segment operating income, segment operating margin, end-of-period backlog, and the book-to-bill ratio. We also monitor changes in our inventory turnover and our or publicly available average selling prices (“ASP”).</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Gross profit margin is computed as gross profit as a percentage of net revenues. Gross profit is generally net revenues less costs of products sold, but also deducts certain other period costs, particularly losses on purchase commitments and inventory write-downs. Losses on purchase commitments and inventory write-downs have the impact of reducing gross profit margin in the period of the charge, but result in improved gross profit margins in subsequent periods by reducing costs of products sold as inventory is used. We also regularly evaluate gross profit by segment to assist in the analysis of consolidated gross profit. Gross profit margin and gross profit margin by segment are clearly a function of net revenues, but also reflect our cost management programs and our ability to contain fixed costs.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Operating margin is computed as gross profit less operating expenses, expressed as a percentage of net revenues. Operating margin is clearly a function of net revenues, but also reflects our cost management programs and our ability to contain fixed costs.</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chief operating decision maker makes decisions, allocates resources, and evaluates business segment performance based on segment gross profit and segment operating income. Only dedicated, direct selling, general, and administrative ("SG&amp;A") expenses of the segments are included in the calculation of segment operating income. We do not allocate certain SG&amp;A expenses that are managed at the regional or corporate global level to our segments. Accordingly, segment operating income excludes these SG&amp;A expenses that are not directly traceable to the segments. Segment operating income would also exclude costs not routinely used in the management of the segments in periods when those items are present, such as restructuring and severance costs, goodwill impairment charges, the direct impact of the COVID-19 pandemic, and other items affecting comparability. Segment operating income is clearly a function of net revenues, but also reflects our cost management programs and our ability to contain fixed costs. Segment operating margin is segment operating income expressed as a percentage of net revenues.</w:t>
      </w:r>
    </w:p>
    <w:p>
      <w:pPr>
        <w:spacing w:after="0" w:line="1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End-of-period backlog is one indicator of future revenues. We include in our backlog only open orders that we expect to ship in the next twelve months. If demand falls below customers’ forecasts, or if customers do not control their inventory effectively, they may cancel or reschedule the shipments that are included in our backlog, in many instances without the payment of any penalty. Therefore, the backlog is not necessarily indicative of the results to be expected for future periods.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 important indicator of demand in our industry is the book-to-bill ratio, which is the ratio of the amount of product ordered during a period as compared with the product that we ship during that period. A book-to-bill ratio that is greater than one indicates that our backlog is building and that we are likely to see increasing revenues in future periods. Conversely, a book-to-bill ratio that is less than one is an indicator of declining demand and may foretell declining revenues.</w:t>
      </w:r>
    </w:p>
    <w:p>
      <w:pPr>
        <w:spacing w:after="0" w:line="1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focus on our inventory turnover as a measure of how well we are managing our inventory. We define inventory turnover for a financial reporting period as our costs of products sold for the four fiscal quarters ending on the last day of the reporting period divided by our average inventory (computed using each fiscal quarter-end balance) for this same period. A higher level of inventory turnover reflects more efficient use of our capital.</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Pricing in our industry can be volatile. Using our and publicly available data, we analyze trends and changes in average selling prices to evaluate likely future pricing. The erosion of average selling prices of established products is typical for semiconductor products. We attempt to offset this deterioration with ongoing cost reduction activities and new product introductions. Our specialty passive components are more resistant to average selling price erosion. All pricing is subject to governing market conditions and is independently set by 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6" w:name="page37"/>
    <w:bookmarkEnd w:id="36"/>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 xml:space="preserve">The quarter-to-quarter trends in these financial metrics can also be an important indicator of the likely direction of our business. The following table shows net revenues, gross profit margin, operating margin, end-of-period backlog, book-to-bill ratio, inventory turnover, and changes in ASP for our business as a whole during the five fiscal quarters beginning with the fourth fiscal quarter of 2023 through the fourth fiscal quarter of 2024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4th Quarter</w:t>
            </w:r>
          </w:p>
        </w:tc>
        <w:tc>
          <w:tcPr>
            <w:tcW w:w="180" w:type="dxa"/>
            <w:vAlign w:val="bottom"/>
          </w:tcPr>
          <w:p>
            <w:pPr>
              <w:spacing w:after="0"/>
              <w:rPr>
                <w:sz w:val="13"/>
                <w:szCs w:val="13"/>
                <w:color w:val="auto"/>
              </w:rPr>
            </w:pPr>
          </w:p>
        </w:tc>
        <w:tc>
          <w:tcPr>
            <w:tcW w:w="12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1st Quarter</w:t>
            </w:r>
          </w:p>
        </w:tc>
        <w:tc>
          <w:tcPr>
            <w:tcW w:w="240" w:type="dxa"/>
            <w:vAlign w:val="bottom"/>
          </w:tcPr>
          <w:p>
            <w:pPr>
              <w:spacing w:after="0"/>
              <w:rPr>
                <w:sz w:val="13"/>
                <w:szCs w:val="13"/>
                <w:color w:val="auto"/>
              </w:rPr>
            </w:pPr>
          </w:p>
        </w:tc>
        <w:tc>
          <w:tcPr>
            <w:tcW w:w="11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2nd Quarter</w:t>
            </w:r>
          </w:p>
        </w:tc>
        <w:tc>
          <w:tcPr>
            <w:tcW w:w="240" w:type="dxa"/>
            <w:vAlign w:val="bottom"/>
          </w:tcPr>
          <w:p>
            <w:pPr>
              <w:spacing w:after="0"/>
              <w:rPr>
                <w:sz w:val="13"/>
                <w:szCs w:val="13"/>
                <w:color w:val="auto"/>
              </w:rPr>
            </w:pPr>
          </w:p>
        </w:tc>
        <w:tc>
          <w:tcPr>
            <w:tcW w:w="11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3rd Quarter</w:t>
            </w:r>
          </w:p>
        </w:tc>
        <w:tc>
          <w:tcPr>
            <w:tcW w:w="180" w:type="dxa"/>
            <w:vAlign w:val="bottom"/>
          </w:tcPr>
          <w:p>
            <w:pPr>
              <w:spacing w:after="0"/>
              <w:rPr>
                <w:sz w:val="13"/>
                <w:szCs w:val="13"/>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4th Quarter</w:t>
            </w:r>
          </w:p>
        </w:tc>
      </w:tr>
      <w:tr>
        <w:trPr>
          <w:trHeight w:val="142"/>
        </w:trPr>
        <w:tc>
          <w:tcPr>
            <w:tcW w:w="3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r>
      <w:tr>
        <w:trPr>
          <w:trHeight w:val="151"/>
        </w:trPr>
        <w:tc>
          <w:tcPr>
            <w:tcW w:w="3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785,236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746,279</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741,239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735,353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714,716</w:t>
            </w:r>
          </w:p>
        </w:tc>
      </w:tr>
      <w:tr>
        <w:trPr>
          <w:trHeight w:val="144"/>
        </w:trPr>
        <w:tc>
          <w:tcPr>
            <w:tcW w:w="3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50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22.8%</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22.0%</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20.5%</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19.9%</w:t>
            </w:r>
          </w:p>
        </w:tc>
      </w:tr>
      <w:tr>
        <w:trPr>
          <w:trHeight w:val="144"/>
        </w:trPr>
        <w:tc>
          <w:tcPr>
            <w:tcW w:w="3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Operating margin</w:t>
            </w:r>
            <w:r>
              <w:rPr>
                <w:rFonts w:ascii="Times New Roman" w:cs="Times New Roman" w:eastAsia="Times New Roman" w:hAnsi="Times New Roman"/>
                <w:sz w:val="22"/>
                <w:szCs w:val="22"/>
                <w:color w:val="auto"/>
                <w:vertAlign w:val="superscript"/>
              </w:rPr>
              <w:t>(1)</w:t>
            </w:r>
          </w:p>
        </w:tc>
        <w:tc>
          <w:tcPr>
            <w:tcW w:w="15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18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w:t>
            </w:r>
          </w:p>
        </w:tc>
        <w:tc>
          <w:tcPr>
            <w:tcW w:w="24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44"/>
        </w:trPr>
        <w:tc>
          <w:tcPr>
            <w:tcW w:w="3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End-of-period backlog</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1,381,800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1,253,400</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1,145,400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1,075,800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1,051,500</w:t>
            </w:r>
          </w:p>
        </w:tc>
      </w:tr>
      <w:tr>
        <w:trPr>
          <w:trHeight w:val="144"/>
        </w:trPr>
        <w:tc>
          <w:tcPr>
            <w:tcW w:w="3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50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0.75</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0.82</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0.86</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0.88</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1.01</w:t>
            </w:r>
          </w:p>
        </w:tc>
      </w:tr>
      <w:tr>
        <w:trPr>
          <w:trHeight w:val="144"/>
        </w:trPr>
        <w:tc>
          <w:tcPr>
            <w:tcW w:w="3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Inventory turnover</w:t>
            </w:r>
          </w:p>
        </w:tc>
        <w:tc>
          <w:tcPr>
            <w:tcW w:w="150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w:t>
            </w:r>
          </w:p>
        </w:tc>
      </w:tr>
      <w:tr>
        <w:trPr>
          <w:trHeight w:val="144"/>
        </w:trPr>
        <w:tc>
          <w:tcPr>
            <w:tcW w:w="3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ASP vs. prior quarter</w:t>
            </w:r>
          </w:p>
        </w:tc>
        <w:tc>
          <w:tcPr>
            <w:tcW w:w="150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(0.7)%</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(0.7)%</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57"/>
        </w:trPr>
        <w:tc>
          <w:tcPr>
            <w:tcW w:w="31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_______________</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r>
    </w:tbl>
    <w:p>
      <w:pPr>
        <w:spacing w:after="0" w:line="120" w:lineRule="exact"/>
        <w:rPr>
          <w:sz w:val="20"/>
          <w:szCs w:val="20"/>
          <w:color w:val="auto"/>
        </w:rPr>
      </w:pPr>
    </w:p>
    <w:p>
      <w:pPr>
        <w:ind w:left="8" w:right="360" w:hanging="8"/>
        <w:spacing w:after="0" w:line="279" w:lineRule="auto"/>
        <w:tabs>
          <w:tab w:leader="none" w:pos="17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margin for the third fiscal quarter of 2024 includes $40.6 million of restructuring and severance expenses (see Note 3 to our consolidated financial statements). Operating margin for the fourth fiscal quarter of 2024 includes $66.5 million of goodwill impairment charges (see Note 19 to our consolidated financial statements).</w:t>
      </w:r>
    </w:p>
    <w:p>
      <w:pPr>
        <w:spacing w:after="0" w:line="1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See “Financial Metrics by Segment” below for net revenues, book-to-bill ratio, and gross profit margin by segment.</w:t>
      </w:r>
    </w:p>
    <w:p>
      <w:pPr>
        <w:spacing w:after="0" w:line="145" w:lineRule="exact"/>
        <w:rPr>
          <w:sz w:val="20"/>
          <w:szCs w:val="20"/>
          <w:color w:val="auto"/>
        </w:rPr>
      </w:pPr>
    </w:p>
    <w:p>
      <w:pPr>
        <w:jc w:val="both"/>
        <w:ind w:left="8" w:right="20"/>
        <w:spacing w:after="0" w:line="261" w:lineRule="auto"/>
        <w:rPr>
          <w:sz w:val="20"/>
          <w:szCs w:val="20"/>
          <w:color w:val="auto"/>
        </w:rPr>
      </w:pPr>
      <w:r>
        <w:rPr>
          <w:rFonts w:ascii="Times New Roman" w:cs="Times New Roman" w:eastAsia="Times New Roman" w:hAnsi="Times New Roman"/>
          <w:sz w:val="14"/>
          <w:szCs w:val="14"/>
          <w:color w:val="auto"/>
        </w:rPr>
        <w:t>Revenues decreased versus the fourth fiscal quarter of 2023 and versus the prior fiscal quarter primarily due to lower sales volume and lower average selling prices. The book-to-bill ratio increased versus the prior fiscal quarter, but orders backlog were negatively impacted by the distributor inventory correction that began in 2022 and continued through 2024. We continue to increase manufacturing capacity for critical product lines. Average selling prices decreased versus the fourth fiscal quarter of 2023 and prior fiscal quarter.</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Gross profit margin decreased versus the prior fiscal quarter and prior year quarter primarily due to lower volume and decreased average selling prices.</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book-to-bill ratio in the fourth fiscal quarter of 2024 increased to 1.01 versus 0.88 in the third fiscal quarter of 2024.</w:t>
      </w:r>
    </w:p>
    <w:p>
      <w:pPr>
        <w:spacing w:after="0" w:line="3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26"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Financial Metrics by Segment</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The following table shows net revenues, book-to-bill ratio, gross profit margin, and segment operating margin broken out by segment for the five fiscal quarters beginning with the fourth fiscal quarter of 2023 through the fourth fiscal quarter of 2024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4th Quarter</w:t>
            </w:r>
          </w:p>
        </w:tc>
        <w:tc>
          <w:tcPr>
            <w:tcW w:w="200" w:type="dxa"/>
            <w:vAlign w:val="bottom"/>
          </w:tcPr>
          <w:p>
            <w:pPr>
              <w:spacing w:after="0"/>
              <w:rPr>
                <w:sz w:val="13"/>
                <w:szCs w:val="13"/>
                <w:color w:val="auto"/>
              </w:rPr>
            </w:pPr>
          </w:p>
        </w:tc>
        <w:tc>
          <w:tcPr>
            <w:tcW w:w="11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1st Quarter</w:t>
            </w:r>
          </w:p>
        </w:tc>
        <w:tc>
          <w:tcPr>
            <w:tcW w:w="180" w:type="dxa"/>
            <w:vAlign w:val="bottom"/>
          </w:tcPr>
          <w:p>
            <w:pPr>
              <w:spacing w:after="0"/>
              <w:rPr>
                <w:sz w:val="13"/>
                <w:szCs w:val="13"/>
                <w:color w:val="auto"/>
              </w:rPr>
            </w:pPr>
          </w:p>
        </w:tc>
        <w:tc>
          <w:tcPr>
            <w:tcW w:w="11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2nd Quarter</w:t>
            </w:r>
          </w:p>
        </w:tc>
        <w:tc>
          <w:tcPr>
            <w:tcW w:w="180" w:type="dxa"/>
            <w:vAlign w:val="bottom"/>
          </w:tcPr>
          <w:p>
            <w:pPr>
              <w:spacing w:after="0"/>
              <w:rPr>
                <w:sz w:val="13"/>
                <w:szCs w:val="13"/>
                <w:color w:val="auto"/>
              </w:rPr>
            </w:pPr>
          </w:p>
        </w:tc>
        <w:tc>
          <w:tcPr>
            <w:tcW w:w="12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3rd Quarter</w:t>
            </w:r>
          </w:p>
        </w:tc>
        <w:tc>
          <w:tcPr>
            <w:tcW w:w="260" w:type="dxa"/>
            <w:vAlign w:val="bottom"/>
          </w:tcPr>
          <w:p>
            <w:pPr>
              <w:spacing w:after="0"/>
              <w:rPr>
                <w:sz w:val="13"/>
                <w:szCs w:val="13"/>
                <w:color w:val="auto"/>
              </w:rPr>
            </w:pPr>
          </w:p>
        </w:tc>
        <w:tc>
          <w:tcPr>
            <w:tcW w:w="10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4th Quarter</w:t>
            </w:r>
          </w:p>
        </w:tc>
        <w:tc>
          <w:tcPr>
            <w:tcW w:w="0" w:type="dxa"/>
            <w:vAlign w:val="bottom"/>
          </w:tcPr>
          <w:p>
            <w:pPr>
              <w:spacing w:after="0"/>
              <w:rPr>
                <w:sz w:val="1"/>
                <w:szCs w:val="1"/>
                <w:color w:val="auto"/>
              </w:rPr>
            </w:pPr>
          </w:p>
        </w:tc>
      </w:tr>
      <w:tr>
        <w:trPr>
          <w:trHeight w:val="142"/>
        </w:trPr>
        <w:tc>
          <w:tcPr>
            <w:tcW w:w="30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i w:val="1"/>
                <w:iCs w:val="1"/>
                <w:color w:val="auto"/>
              </w:rPr>
              <w:t>MOSFETs</w:t>
            </w:r>
          </w:p>
        </w:tc>
        <w:tc>
          <w:tcPr>
            <w:tcW w:w="168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gridSpan w:val="5"/>
            <w:vMerge w:val="continue"/>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168,158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153,173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155,053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147,134</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146,619</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0.62</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0.68</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0.79</w:t>
            </w:r>
          </w:p>
        </w:tc>
        <w:tc>
          <w:tcPr>
            <w:tcW w:w="18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0.84</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0.98</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27.3%</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16.6%</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11.7%</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16.8%</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5"/>
              </w:rPr>
              <w:t>Diodes</w:t>
            </w:r>
          </w:p>
        </w:tc>
        <w:tc>
          <w:tcPr>
            <w:tcW w:w="2680" w:type="dxa"/>
            <w:vAlign w:val="bottom"/>
            <w:tcBorders>
              <w:bottom w:val="single" w:sz="8" w:color="CCEEFF"/>
            </w:tcBorders>
            <w:gridSpan w:val="4"/>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163,324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149,130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146,265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145,183</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141,397</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80" w:type="dxa"/>
            <w:vAlign w:val="bottom"/>
          </w:tcPr>
          <w:p>
            <w:pPr>
              <w:spacing w:after="0"/>
              <w:rPr>
                <w:sz w:val="14"/>
                <w:szCs w:val="14"/>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0.61</w:t>
            </w:r>
          </w:p>
        </w:tc>
        <w:tc>
          <w:tcPr>
            <w:tcW w:w="200" w:type="dxa"/>
            <w:vAlign w:val="bottom"/>
          </w:tcPr>
          <w:p>
            <w:pPr>
              <w:spacing w:after="0"/>
              <w:rPr>
                <w:sz w:val="14"/>
                <w:szCs w:val="14"/>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0.72</w:t>
            </w:r>
          </w:p>
        </w:tc>
        <w:tc>
          <w:tcPr>
            <w:tcW w:w="180" w:type="dxa"/>
            <w:vAlign w:val="bottom"/>
          </w:tcPr>
          <w:p>
            <w:pPr>
              <w:spacing w:after="0"/>
              <w:rPr>
                <w:sz w:val="14"/>
                <w:szCs w:val="14"/>
                <w:color w:val="auto"/>
              </w:rPr>
            </w:pP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0.85</w:t>
            </w:r>
          </w:p>
        </w:tc>
        <w:tc>
          <w:tcPr>
            <w:tcW w:w="180" w:type="dxa"/>
            <w:vAlign w:val="bottom"/>
          </w:tcPr>
          <w:p>
            <w:pPr>
              <w:spacing w:after="0"/>
              <w:rPr>
                <w:sz w:val="14"/>
                <w:szCs w:val="14"/>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0.74</w:t>
            </w:r>
          </w:p>
        </w:tc>
        <w:tc>
          <w:tcPr>
            <w:tcW w:w="260" w:type="dxa"/>
            <w:vAlign w:val="bottom"/>
          </w:tcPr>
          <w:p>
            <w:pPr>
              <w:spacing w:after="0"/>
              <w:rPr>
                <w:sz w:val="14"/>
                <w:szCs w:val="14"/>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8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24.1%</w:t>
            </w:r>
          </w:p>
        </w:tc>
        <w:tc>
          <w:tcPr>
            <w:tcW w:w="20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21.7%</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21.2%</w:t>
            </w:r>
          </w:p>
        </w:tc>
        <w:tc>
          <w:tcPr>
            <w:tcW w:w="180" w:type="dxa"/>
            <w:vAlign w:val="bottom"/>
          </w:tcPr>
          <w:p>
            <w:pPr>
              <w:spacing w:after="0"/>
              <w:rPr>
                <w:sz w:val="14"/>
                <w:szCs w:val="14"/>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20.1%</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8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20.9%</w:t>
            </w:r>
          </w:p>
        </w:tc>
        <w:tc>
          <w:tcPr>
            <w:tcW w:w="20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16.7%</w:t>
            </w:r>
          </w:p>
        </w:tc>
        <w:tc>
          <w:tcPr>
            <w:tcW w:w="180" w:type="dxa"/>
            <w:vAlign w:val="bottom"/>
          </w:tcPr>
          <w:p>
            <w:pPr>
              <w:spacing w:after="0"/>
              <w:rPr>
                <w:sz w:val="14"/>
                <w:szCs w:val="14"/>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15.7%</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Optoelectronic Components</w:t>
            </w: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53,853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49,199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53,010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63,227</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46,932</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0.59</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0.89</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0.82</w:t>
            </w:r>
          </w:p>
        </w:tc>
        <w:tc>
          <w:tcPr>
            <w:tcW w:w="18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0.77</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14.2%</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w:t>
            </w:r>
          </w:p>
        </w:tc>
        <w:tc>
          <w:tcPr>
            <w:tcW w:w="18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c>
          <w:tcPr>
            <w:tcW w:w="18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right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7"/>
              </w:rPr>
              <w:t>Resistors</w:t>
            </w:r>
          </w:p>
        </w:tc>
        <w:tc>
          <w:tcPr>
            <w:tcW w:w="2540" w:type="dxa"/>
            <w:vAlign w:val="bottom"/>
            <w:tcBorders>
              <w:left w:val="single" w:sz="8" w:color="CCEEFF"/>
              <w:bottom w:val="single" w:sz="8" w:color="CCEEFF"/>
            </w:tcBorders>
            <w:gridSpan w:val="3"/>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198,022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188,196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179,498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180,889</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177,031</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80" w:type="dxa"/>
            <w:vAlign w:val="bottom"/>
          </w:tcPr>
          <w:p>
            <w:pPr>
              <w:spacing w:after="0"/>
              <w:rPr>
                <w:sz w:val="14"/>
                <w:szCs w:val="14"/>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0.82</w:t>
            </w:r>
          </w:p>
        </w:tc>
        <w:tc>
          <w:tcPr>
            <w:tcW w:w="200" w:type="dxa"/>
            <w:vAlign w:val="bottom"/>
          </w:tcPr>
          <w:p>
            <w:pPr>
              <w:spacing w:after="0"/>
              <w:rPr>
                <w:sz w:val="14"/>
                <w:szCs w:val="14"/>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0.79</w:t>
            </w:r>
          </w:p>
        </w:tc>
        <w:tc>
          <w:tcPr>
            <w:tcW w:w="180" w:type="dxa"/>
            <w:vAlign w:val="bottom"/>
          </w:tcPr>
          <w:p>
            <w:pPr>
              <w:spacing w:after="0"/>
              <w:rPr>
                <w:sz w:val="14"/>
                <w:szCs w:val="14"/>
                <w:color w:val="auto"/>
              </w:rPr>
            </w:pP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0.87</w:t>
            </w:r>
          </w:p>
        </w:tc>
        <w:tc>
          <w:tcPr>
            <w:tcW w:w="180" w:type="dxa"/>
            <w:vAlign w:val="bottom"/>
          </w:tcPr>
          <w:p>
            <w:pPr>
              <w:spacing w:after="0"/>
              <w:rPr>
                <w:sz w:val="14"/>
                <w:szCs w:val="14"/>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0.95</w:t>
            </w:r>
          </w:p>
        </w:tc>
        <w:tc>
          <w:tcPr>
            <w:tcW w:w="260" w:type="dxa"/>
            <w:vAlign w:val="bottom"/>
          </w:tcPr>
          <w:p>
            <w:pPr>
              <w:spacing w:after="0"/>
              <w:rPr>
                <w:sz w:val="14"/>
                <w:szCs w:val="14"/>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0.91</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8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25.6%</w:t>
            </w:r>
          </w:p>
        </w:tc>
        <w:tc>
          <w:tcPr>
            <w:tcW w:w="20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24.7%</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tcPr>
          <w:p>
            <w:pPr>
              <w:spacing w:after="0"/>
              <w:rPr>
                <w:sz w:val="14"/>
                <w:szCs w:val="14"/>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8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22.0%</w:t>
            </w:r>
          </w:p>
        </w:tc>
        <w:tc>
          <w:tcPr>
            <w:tcW w:w="20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20.3%</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18.3%</w:t>
            </w:r>
          </w:p>
        </w:tc>
        <w:tc>
          <w:tcPr>
            <w:tcW w:w="180" w:type="dxa"/>
            <w:vAlign w:val="bottom"/>
          </w:tcPr>
          <w:p>
            <w:pPr>
              <w:spacing w:after="0"/>
              <w:rPr>
                <w:sz w:val="14"/>
                <w:szCs w:val="14"/>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17.9%</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Inductors</w:t>
            </w: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87,868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88,651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94,061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90,253</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83,390</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0.96</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0.97</w:t>
            </w:r>
          </w:p>
        </w:tc>
        <w:tc>
          <w:tcPr>
            <w:tcW w:w="18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0.83</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33.4%</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30.1%</w:t>
            </w:r>
          </w:p>
        </w:tc>
        <w:tc>
          <w:tcPr>
            <w:tcW w:w="18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30.3%</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29.6%</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26.1%</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26.1%</w:t>
            </w:r>
          </w:p>
        </w:tc>
        <w:tc>
          <w:tcPr>
            <w:tcW w:w="18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Borders>
              <w:bottom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9"/>
              </w:rPr>
              <w:t>Capacitors</w:t>
            </w:r>
          </w:p>
        </w:tc>
        <w:tc>
          <w:tcPr>
            <w:tcW w:w="2440" w:type="dxa"/>
            <w:vAlign w:val="bottom"/>
            <w:tcBorders>
              <w:bottom w:val="single" w:sz="8" w:color="CCEEFF"/>
            </w:tcBorders>
            <w:gridSpan w:val="2"/>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114,011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117,930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113,352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108,667</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119,347</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80" w:type="dxa"/>
            <w:vAlign w:val="bottom"/>
          </w:tcPr>
          <w:p>
            <w:pPr>
              <w:spacing w:after="0"/>
              <w:rPr>
                <w:sz w:val="14"/>
                <w:szCs w:val="14"/>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0.95</w:t>
            </w:r>
          </w:p>
        </w:tc>
        <w:tc>
          <w:tcPr>
            <w:tcW w:w="200" w:type="dxa"/>
            <w:vAlign w:val="bottom"/>
          </w:tcPr>
          <w:p>
            <w:pPr>
              <w:spacing w:after="0"/>
              <w:rPr>
                <w:sz w:val="14"/>
                <w:szCs w:val="14"/>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tcPr>
          <w:p>
            <w:pPr>
              <w:spacing w:after="0"/>
              <w:rPr>
                <w:sz w:val="14"/>
                <w:szCs w:val="14"/>
                <w:color w:val="auto"/>
              </w:rPr>
            </w:pP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0.87</w:t>
            </w:r>
          </w:p>
        </w:tc>
        <w:tc>
          <w:tcPr>
            <w:tcW w:w="180" w:type="dxa"/>
            <w:vAlign w:val="bottom"/>
          </w:tcPr>
          <w:p>
            <w:pPr>
              <w:spacing w:after="0"/>
              <w:rPr>
                <w:sz w:val="14"/>
                <w:szCs w:val="14"/>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tcPr>
          <w:p>
            <w:pPr>
              <w:spacing w:after="0"/>
              <w:rPr>
                <w:sz w:val="14"/>
                <w:szCs w:val="14"/>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8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25.3%</w:t>
            </w:r>
          </w:p>
        </w:tc>
        <w:tc>
          <w:tcPr>
            <w:tcW w:w="20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27.4%</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23.5%</w:t>
            </w:r>
          </w:p>
        </w:tc>
        <w:tc>
          <w:tcPr>
            <w:tcW w:w="180" w:type="dxa"/>
            <w:vAlign w:val="bottom"/>
          </w:tcPr>
          <w:p>
            <w:pPr>
              <w:spacing w:after="0"/>
              <w:rPr>
                <w:sz w:val="14"/>
                <w:szCs w:val="14"/>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22.9%</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80" w:type="dxa"/>
            <w:vAlign w:val="bottom"/>
            <w:gridSpan w:val="5"/>
          </w:tcPr>
          <w:p>
            <w:pPr>
              <w:spacing w:after="0" w:line="144" w:lineRule="exact"/>
              <w:rPr>
                <w:sz w:val="20"/>
                <w:szCs w:val="20"/>
                <w:color w:val="auto"/>
              </w:rPr>
            </w:pPr>
            <w:r>
              <w:rPr>
                <w:rFonts w:ascii="Times New Roman" w:cs="Times New Roman" w:eastAsia="Times New Roman" w:hAnsi="Times New Roman"/>
                <w:sz w:val="14"/>
                <w:szCs w:val="14"/>
                <w:color w:val="auto"/>
              </w:rPr>
              <w:t>Segment operating margin</w:t>
            </w:r>
          </w:p>
        </w:tc>
        <w:tc>
          <w:tcPr>
            <w:tcW w:w="1680" w:type="dxa"/>
            <w:vAlign w:val="bottom"/>
          </w:tcPr>
          <w:p>
            <w:pPr>
              <w:spacing w:after="0"/>
              <w:rPr>
                <w:sz w:val="12"/>
                <w:szCs w:val="12"/>
                <w:color w:val="auto"/>
              </w:rPr>
            </w:pPr>
          </w:p>
        </w:tc>
        <w:tc>
          <w:tcPr>
            <w:tcW w:w="1100" w:type="dxa"/>
            <w:vAlign w:val="bottom"/>
            <w:gridSpan w:val="4"/>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20.4%</w:t>
            </w:r>
          </w:p>
        </w:tc>
        <w:tc>
          <w:tcPr>
            <w:tcW w:w="200" w:type="dxa"/>
            <w:vAlign w:val="bottom"/>
          </w:tcPr>
          <w:p>
            <w:pPr>
              <w:spacing w:after="0"/>
              <w:rPr>
                <w:sz w:val="12"/>
                <w:szCs w:val="12"/>
                <w:color w:val="auto"/>
              </w:rPr>
            </w:pPr>
          </w:p>
        </w:tc>
        <w:tc>
          <w:tcPr>
            <w:tcW w:w="1160" w:type="dxa"/>
            <w:vAlign w:val="bottom"/>
            <w:gridSpan w:val="5"/>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22.5%</w:t>
            </w:r>
          </w:p>
        </w:tc>
        <w:tc>
          <w:tcPr>
            <w:tcW w:w="180" w:type="dxa"/>
            <w:vAlign w:val="bottom"/>
          </w:tcPr>
          <w:p>
            <w:pPr>
              <w:spacing w:after="0"/>
              <w:rPr>
                <w:sz w:val="12"/>
                <w:szCs w:val="12"/>
                <w:color w:val="auto"/>
              </w:rPr>
            </w:pPr>
          </w:p>
        </w:tc>
        <w:tc>
          <w:tcPr>
            <w:tcW w:w="1180" w:type="dxa"/>
            <w:vAlign w:val="bottom"/>
            <w:gridSpan w:val="5"/>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18.5%</w:t>
            </w:r>
          </w:p>
        </w:tc>
        <w:tc>
          <w:tcPr>
            <w:tcW w:w="180" w:type="dxa"/>
            <w:vAlign w:val="bottom"/>
          </w:tcPr>
          <w:p>
            <w:pPr>
              <w:spacing w:after="0"/>
              <w:rPr>
                <w:sz w:val="12"/>
                <w:szCs w:val="12"/>
                <w:color w:val="auto"/>
              </w:rPr>
            </w:pPr>
          </w:p>
        </w:tc>
        <w:tc>
          <w:tcPr>
            <w:tcW w:w="1220" w:type="dxa"/>
            <w:vAlign w:val="bottom"/>
            <w:gridSpan w:val="5"/>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tcPr>
          <w:p>
            <w:pPr>
              <w:spacing w:after="0"/>
              <w:rPr>
                <w:sz w:val="12"/>
                <w:szCs w:val="12"/>
                <w:color w:val="auto"/>
              </w:rPr>
            </w:pPr>
          </w:p>
        </w:tc>
        <w:tc>
          <w:tcPr>
            <w:tcW w:w="1060" w:type="dxa"/>
            <w:vAlign w:val="bottom"/>
            <w:gridSpan w:val="4"/>
          </w:tcPr>
          <w:p>
            <w:pPr>
              <w:jc w:val="right"/>
              <w:spacing w:after="0" w:line="144"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8"/>
        </w:trPr>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_________</w:t>
            </w: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39</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24"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Acquisition Activity</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part of its growth strategy, the Company seeks to expand through targeted acquisitions of other manufacturers of electronic components. These acquisition targets include businesses that have established positions in major markets, reputations for product quality and reliability, and product lines with which the Company has substantial marketing and technical expertise. It also includes certain businesses that possess technologies which the Company expects to further develop and commercialize, such as MaxPower Semiconductor, Inc., acquired in 2022; businesses with well-developed technologies that the Company expects to grow using its manufacturing capabilities, capacity, and economies of scale to expand production and sell to its global customer base, such as Ametherm, Inc., acquired in 2024; and key niche suppliers to vertically integrate our supply chain, such as Birkelbach Kondensatortechnik GmbH ("Birkelbach"), acquired in 2024, and Centerline Technologies, LLC, acquired in 2023. To limit our financial exposure, we have implemented a policy not to pursue acquisitions if our post-acquisition debt would exceed 2.5x our pro forma earnings before interest, taxes, depreciation, and amortization (“EBITDA”). For these purposes, we calculate pro forma EBITDA as the adjusted EBITDA of Vishay and the target for the trailing four fiscal quarters, with a pro forma adjustment for savings which management estimates would have been achieved had the target been acquired by Vishay at the beginning of the trailing four fiscal quarters.</w:t>
      </w:r>
    </w:p>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March 5, 2024, we completed the acquisition of Nexperia’s wafer fabrication facility and operations located in Newport, South Wales, U.K. for approximately $177.5 million in cash, net of cash acquired. The wafer fabrication facility is located on 28 acres and is an automotive-certified, 200mm semiconductor wafer fab with capacity to produce more than 30,000 wafers per month. We plan to position the facility as a manufacturing excellence center and use it as the home for MaxPower to further develop and scale our SiC MOSFETs and diodes capabilities. The facility is currently generating a net loss and we expect the facility to continue to generate a net loss while we invest in new equipment and qualify new products.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no assurance that we will be able to identify and acquire suitable acquisition candidates at price levels and on terms and conditions we consider acceptable.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 to our consolidated financial statements.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Cost Management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place a strong emphasis on controlling our costs, and use various measures and metrics to evaluate our cost structure.</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define variable costs as expenses that vary with respect to quantity produced. Fixed costs do not vary with respect to quantity produced over the relevant time period. Contributive margin is calculated as net revenue less variable costs. It may be expressed in dollars or as a percentage of net revenue. Management uses this measure to determine the amount of profit to be expected for any change in revenues. While these measures are typical cost accounting measures, none of these measures are recognized in accordance with GAAP. The classification of expenses as either variable or fixed is judgmental and other companies might classify such expenses differently. These measures, as calculated by Vishay, may not be comparable to similarly titled measures used by other companies.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closely monitor variable costs and seek to achieve the contributive margin in our business model. Over a period of many years, we have generally maintained a contributive margin of between 45% and 47% of revenues. The erosion of average selling prices, particularly of our semiconductor products, that is typical of our industry, and inflation negatively impact contributive margin and drive us to continually seek ways to reduce our variable costs. Our variable cost reduction efforts include increasing the efficiency in our production facilities by expending capital for automation, reducing materials costs, materials substitution, increasing wafer size and shrinking dies to maximize efficiency in our semiconductor production processes, and other yield improvement activities.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cost management strategy also includes a focus on controlling fixed costs recorded as costs of products sold or selling, general, and administrative expenses and maintaining our break-even point (adjusted for acquisitions). We generally seek to limit increases in selling, general, and administrative expenses to the rate of inflation, excluding foreign currency exchange effects and substantially independent of sales volume changes. At constant fixed costs, we would expect each $1 million increase in revenues to increase our operating income by approximately $450,000 to $470,000. Sudden changes in the business conditions, however, may not allow us to quickly adapt our manufacturing capacity and cost structure.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Company transforms, we are incurring certain costs which are reducing current profitability while positioning the Company for future long-term profitable growth.</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acquisition of Nexperia's Newport fab in 2024 will enhance the manufacturing capacity and capabilities of our MOSFETs segment. The facility added significant depreciation and other costs to our MOSFETs segment. The facility is generating a loss and we expect it to continue to generate a loss while we invest in new equipment and qualify new products. Also beginning in 2023, we began making significant investments in capital expenditures primarily for capital expansion projects primarily outside of China, which will also increase depreciation expense. At the same time, we are focusing on increasing our technical resources, adding additional customer-facing engineers, and intensifying our activities in R&amp;D.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have seen and expect to continue to see an increase in operating expenses over the next couple of years as we add engineering talents, fill gaps in our technology, and become a preferred supplier to more customers and more broadly sell our product portfolio.</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During 2023, we implemented the Vishay Intertechnology, Inc. 2023 Long-Term Incentive Plan (the "2023 Plan") to enable us to recruit and retain highly qualified employees, directors, consultants and other service providers, provide them with an incentive for productivity, and create an opportunity for them to share in the growth and value of the Company. The 2023 Plan is the first broad-based stock compensation program at Vishay in over 20 years. This program increased operating expenses by $5.1 million in 2024 versus 2023 and is expected to increase operating expenses by between $4 million and $7 million in 2025 versus 2024. Management believes such additional non-cash costs will enhance the long-term performance of the Company by providing selected participants with an incentive to improve the growth and profitability of the Company.</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In 2024, we revised our short-term incentive compensation structure to better align with our growth objectives. The revised structure incentivizes daily behaviors and actions of our organizational leaders to create immediate growth in line with our cross-functional business objectives. Under the new structure, organizational leaders will be rewarded annually for meeting determined targets in revenue, operating margin, gross margin, and variable margin. Managers will be able to earn up to 130% of their former STI bonus targets for results which exceed expectations. The better alignment of the STI program with business results creates higher volatility in costs. The industry downturn that led to results that were below expectations in 2024 led to relatively low bonus accruals and thus lower reported SG&amp;A expenses. Such costs are expected to be significantly higher if business results meet or exceed expectations.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September 2024, we announced restructuring actions designed, in part, to optimize our manufacturing footprint and streamline business decision making. We recognized restructuring expense pursuant to on-going benefit arrangements of $40.6 million in 2024. The actions are expected to generate annualized cost savings of approximately $23 million (annualized), including $12 million of selling, general and administration expenses, when the actions are fully implemented by the end of 2026.</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continue to monitor the economic environment and its potential effects on our customers and the end markets that we serve.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uncertain times, we focus on managing our production capacities in accordance with customer requirements, and maintain discipline in terms of our fixed costs and capital expenditures. Even as we seek to manage our costs, we remain cognizant of the future requirements of our demanding markets. We continue to pursue our growth plans through investing in capacities for strategic product lines, and through increasing our resources for R&amp;D, technical marketing, and field application engineering; supplemented by opportunistic acquisitions of specialty businesses.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long-term strategy includes growth through the integration of acquired businesses, and GAAP requires plant closure and employee termination costs that we incur in connection with our acquisition activities to be recorded as expenses in our consolidated statement of operations, as such expenses are incurred. We have not incurred any material plant closure or employee termination costs related to any of the businesses acquired since 2011, but we expect to have some level of future restructuring expenses due to acquisitions.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Goodwill represents the excess of the cost of businesses acquired over the fair value of the related net assets at the date of acquisition. Goodwill is not amortized but rather is tested for impairment at least annually. These tests are performed more frequently whenever events or changes in circumstances indicate that the assets might be impaired. We perform our annual goodwill impairment test as of the first day of the fourth fiscal quarter. When performing a quantitative assessment of our reporting units, we use an equal weighting of income (discounted cash flow) and market approaches to determine fair value. There are certain execution risks to our strategic plan. These execution risks, as well as the current market price of our common stock, result in the use of a relatively high discount rate in our discounted cash flow analysis.</w:t>
      </w:r>
    </w:p>
    <w:p>
      <w:pPr>
        <w:spacing w:after="0" w:line="11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acquisitions of MaxPower Semiconductor, Inc. and the Newport wafer fab, as well as the planned capacity expansions at Itzehoe and Newport, are long-term investments which were not expected to generate significant income or cash flows in the near-term, but should greatly enhance the long-term position of our MOSFETs business. Such investments have significantly increased the net asset base of our MOSFETs business without a corresponding increase in current income or cash flows. We continue to be committed to these long-term projects.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During the third fiscal quarter of 2024, we identified the decrease in our share price in combination with the increase in the book value of our assets as a result of our acquisition and capital spending activities as potential indicators of impairment requiring an interim goodwill impairment test. The interim goodwill impairment test was performed as of September 28, 2024. We performed a quantitative assessment of each of our reporting units and determined that the estimated fair value of each reporting unit exceeded its carrying value, although the MOSFETs reporting unit’s fair value exceeded its carrying value by less than 10%. No goodwill impairment charges were recognized in the third fiscal quarter of 2024 as a result of the goodwill impairment test.</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During the fourth fiscal quarter of 2024, we identified the further decrease in our share price in combination with the further increase in the book value of our assets as a result of our capital spending activities as well as certain internal and external factors as potential indicators of impairment requiring an interim test of our MOSFETs reporting unit. The interim goodwill impairment test was performed as of December 31, 2024. As a result of the assessment, we determined that the estimated fair value of the MOSFETs reporting unit was less than its carrying value. As a result, we recorded a goodwill impairment charge of $66.5 million. The goodwill impairment charge is noncash in nature and does not affect our liquidity, cash flows from operating activities, or debt covenants, and will not have a material impact on future operations.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are not able to achieve our anticipated results and/or if our discount rate were to increase, the fair value of our other reporting units would be adversely affected, which may result in future impairment. There is $179.0 million of goodwill remaining on the balance sheet as of December 31, 2024. We will continue to monitor our reporting units and related goodwill for any possible future noncash impairment charges.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and 19 to the consolidated financial statements for additional information.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exposed to foreign currency exchange rate risks, particularly due to transactions in currencies other than the functional currencies of certain subsidiaries. We occasionally use forward exchange contracts to economically hedge a portion of our projected cash flows from these exposures.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GAAP requires that entities identify the “functional currency” of each of their subsidiaries and measure all elements of the financial statements in that functional currency. A subsidiary’s functional currency is the currency of the primary economic environment in which it operates. In cases where a subsidiary is relatively self-contained within a particular country, the local currency is generally deemed to be the functional currency. However, a foreign subsidiary that is a direct and integral component or extension of the parent company’s operations generally would have the parent company’s currency as its functional currency. We have both situations among our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Subsidiaries which use the Local Currency as the Functional Currency</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finance our operations in Europe and certain locations in Asia in local currencies, and accordingly, these subsidiaries utilize the local currency as their functional currency. For those subsidiaries where the local currency is the functional currency, assets and liabilities in the consolidated balance sheets have been translated at the rate of exchange as of the balance sheet date. Translation adjustments do not impact the results of operations and are reported as a separate component of stockholders’ equity.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those subsidiaries where the local currency is the functional currency, revenues and expenses are translated at the average exchange rate for the year. While the translation of revenues and expenses into U.S. dollars does not directly impact the consolidated statement of operations, the translation effectively increases or decreases the U.S. dollar equivalent of revenues generated and expenses incurred in those foreign currencies. The net change of the dollar was not material when comparing 2024 versus 2023, but the dollar was weaker during 2023 versus 2022, with the translation of foreign currency revenues and expenses into U.S. dollars increasing reported revenues and expenses in 2023 versus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Subsidiaries which use the U.S. Dollar as the Functional Currency</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operations in Israel, the United Kingdom, and most significant locations in Asia are largely financed in U.S. dollars, and accordingly, these subsidiaries utilize the U.S. dollar as their functional currency. 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results of operations. While these subsidiaries transact most business in U.S. dollars, they may have significant costs, particularly payroll-related, which are incurred in the local currency. The cost of products sold and selling, general, and administrative expense have been favorably impacted for the year ended December 31, 2024 compared to 2023 and for the year ended December 31, 2023 compared to 2022 by local currency transactions of subsidiaries which use the U.S. dollar as their functional currency.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7A for additional discussion of foreign currency exchange risk.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51"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significant accounting policies are summarized in Note 1 to our consolidated financial statements. We identify here a number of policies that entail significant judgments or estimates.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Revenue is measured based on the consideration specified in contracts with customers, and excludes any sales incentives and amounts collected on behalf of third parties. We recognize revenue when we satisfy our performance obligations.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have a broad line of products that we sell to OEMs, electronic manufacturing services ("EMS") companies, which manufacture for OEMs on an outsourcing basis, and independent distributors that maintain large inventories of electronic components for resale to OEMs and EMS companies.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recognize revenue on sales to distributors when the distributor takes control of the products ("sold-to" model). We have agreements with distributors that allow distributors a limited credit for unsaleable products, which we refer to as a "scrap allowance." Consistent with industry practice, we also have a "stock, ship and debit" program whereby we consider requests by distributors for credits on previously purchased products that remain in distributors' inventory, to enable the distributors to offer more competitive pricing. In addition, we have contractual arrangements whereby we provide distributors with protection against price reductions initiated by us after product is sold by us to the distributor and prior to resale by the distributor.</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recognize the estimated variable consideration to be received as revenue and record a related accrued expense for the consideration not expected to be received, based upon an estimate of product returns, scrap allowances, "stock, ship and debit" credits, and price protection credits that will be attributable to sales recorded through the end of the period. We make these estimates based upon sales levels to our customers during the period, inventory levels at the distributors, current and projected market conditions, and historical experience under the programs. We utilize a number of different methodologies and consider several factors when estimating the accruals. Some of the factors that we consider are sales levels to customers during the relevant period, inventory levels at the distributors, current and projected market trends and conditions, recent and historical activity under the relevant programs, changes in program policies, and open requests for credits. These procedures require the exercise of significant judgments. We believe that we have a reasonable basis to estimate future credits under the programs.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and 9 to our consolidated financial statements for further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value our inventories at the lower of cost or net realizable value, with cost determined under the first-in, first-out method. The valuation of our inventories requires our management to make market estimates. For work in process goods, we are required to estimate the cost to completion of the products and the prices at which we will be able to sell the products. For finished goods, we must assess the prices at which we believe the inventory can be sold. Inventories are also adjusted for estimated obsolescence and written down to net realizable value based on age of the inventory and upon estimates of future demand, technology developments, and market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Goodwill represents the excess of the cost of businesses acquired over the fair value of the related net assets at the date of acquisition. We do not amortize goodwill, but test it at least annually for impairment at the reporting unit level. Impairment tests must be performed more frequently if there are indicators of impairment. A reporting unit is an operating segment, or one level below an operating segment, if it constitutes a business for which discrete financial information is available and regularly reviewed by segment management. Our business segments represent our reporting units for goodwill impairment testing purposes. See Note 15 to our consolidated financial statements for a description of our business segments.</w:t>
      </w:r>
    </w:p>
    <w:p>
      <w:pPr>
        <w:spacing w:after="0" w:line="1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When performing a quantitative goodwill impairment test, we determine fair values generally based on a weighting of income and market approaches. For purposes of the income approach, fair values are determined based upon the present value of the reporting unit’s estimated future cash flows, discounted at appropriate risk-adjusted rates. We use our internal forecasts to estimate future cash flows, which may include estimates of long-term future growth rates based upon our most recent reviews of the long-term outlook for each reporting unit. Cash flow estimates used to establish fair values under our income approach involve management judgments based on a broad range of information and historical results. In addition, external economic and competitive conditions can influence future performance. For purposes of the market approach, we use valuation multiples for companies comparable to our reporting units.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determination of the fair value of the reporting units requires us to make significant estimates and assumptions. These estimates and assumptions primarily include, but are not limited to: the selection of appropriate peer group companies; control premiums appropriate for acquisitions in the industries in which we compete; the discount rate; terminal growth rates; and forecasts of revenue, operating income, depreciation and amortization (components of earnings before interest, taxes, depreciation, and amortization, "EBITDA"); and capital expenditures.</w:t>
      </w:r>
    </w:p>
    <w:p>
      <w:pPr>
        <w:spacing w:after="0" w:line="1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Due to the inherent uncertainty involved in making these estimates, actual financial results could differ from those estimates. In addition, changes in assumptions concerning future financial results or other underlying assumptions could have a significant impact on the fair value of the reporting unit and the amount of the goodwill impairment charge.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and 19 to our consolidated financial statements for a description of our goodwill impairment tests.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and Other Postretirement Benefits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defined benefit plans are concentrated in the United States, Germany, and the Republic of China (Taiwan). At December 31, 2024, our U.S. plans include various non-qualified plans. The table below summarizes information about our pension and other postretirement benefit plans. This information should be read in conjunction with Note 11 to our consolidated financial statements </w:t>
      </w:r>
      <w:r>
        <w:rPr>
          <w:rFonts w:ascii="Times New Roman" w:cs="Times New Roman" w:eastAsia="Times New Roman" w:hAnsi="Times New Roman"/>
          <w:sz w:val="14"/>
          <w:szCs w:val="14"/>
          <w:i w:val="1"/>
          <w:iCs w:val="1"/>
          <w:color w:val="auto"/>
        </w:rPr>
        <w:t>(amounts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Funded</w:t>
            </w:r>
          </w:p>
        </w:tc>
        <w:tc>
          <w:tcPr>
            <w:tcW w:w="12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Informally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actuarial</w:t>
            </w:r>
          </w:p>
        </w:tc>
      </w:tr>
      <w:tr>
        <w:trPr>
          <w:trHeight w:val="182"/>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4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1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funded assets</w:t>
            </w:r>
          </w:p>
        </w:tc>
        <w:tc>
          <w:tcPr>
            <w:tcW w:w="14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 position</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items</w:t>
            </w:r>
          </w:p>
        </w:tc>
      </w:tr>
      <w:tr>
        <w:trPr>
          <w:trHeight w:val="16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non-qualified pension plans</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28,638</w:t>
            </w:r>
          </w:p>
        </w:tc>
        <w:tc>
          <w:tcPr>
            <w:tcW w:w="2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(28,638)</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20,907</w:t>
            </w: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3"/>
                <w:szCs w:val="13"/>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German pension plans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120,528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(120,528)</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4,043</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(116,485)</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13,616</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Taiwanese pension plans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37,085</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35,593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783</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Other pension plans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28,875</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(9,203)</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(9,203)</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4,462</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OPEB plans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(11,024)</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(11,024)</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(171)</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Other retirement obligations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(10,518)</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(10,518)</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245,871</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64,468</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(181,403)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24,950</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(156,453)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18,701</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Accounting for defined benefit pension and other postretirement plans involves numerous assumptions and estimates. The discount rate at which obligations could effectively be settled and the expected long-term rate of return on plan assets are two critical assumptions in measuring the cost and benefit obligations of our pension and other postretirement benefit plans. Other important assumptions include the anticipated rate of future increases in compensation levels, estimated mortality, and for certain postretirement medical plans, increases or trends in health care costs. Management reviews these assumptions at least annually. We use independent actuaries and investment advisers to assist us in formulating assumptions and making estimates. These assumptions are updated periodically to reflect the actual experience and expectations on a plan specific basis as appropriate.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U.S., we utilize published long-term high quality bonds to determine the discount rate at the measurement date. In Germany and the Republic of China (Taiwan), we utilize published long-term government bond rates to determine the discount rate at the measurement date. We utilize bond yields at various maturity dates that reflect the timing of expected future benefit payments. We believe the discount rates selected are the rates at which these obligations could effectively be settled.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Non-qualified plans in the U.S. are considered by law to be unfunded. However, the Company maintains assets in a rabbi trust to fund benefit payments under certain of these plans. Such assets would be subject to creditor claims under certain conditions. (See also Notes 11 and 18 to our consolidated financial statements.)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our non-U.S. plans are unfunded based on local laws and customs. For those non-U.S. plans that do maintain investments, their asset holdings are primarily cash and fixed income securities, based on local laws and customs. Some non-U.S. plans also informally fund their plans by holding certain available-for-sale investments. Such assets would be subject to creditor claims under certain conditions. (See also Note 18 to our consolidated financial statements.)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set the expected long-term rate of return based on the expected long-term average rates of return to be achieved by the underlying investment portfolios. In establishing this rate, we consider historical and expected returns for the asset classes in which the plans are invested, advice from pension consultants and investment advisors, and current economic and capital market conditions. The expected return on plan assets is incorporated into the computation of pension expense. The difference between this expected return and the actual return on plan assets is deferred. The net deferral of past asset losses (gains) affects the calculated value of plan assets and, ultimately, future pension expense (income).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continue to seek to de-risk our global pension exposures. Such actions could result in increased net periodic pension cost due to lower expected rates of return on plan assets and/or possible additional charges to recognize unamortized actuarial items if all or a portion of the obligations were to be settled.</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believe that the current assumptions used to estimate plan obligations and annual expenses are appropriate. However, if economic conditions change or if our investment strategy changes, we may be inclined to change some of our assumptions, and the resulting change could have a material impact on the consolidated statements of operations and on the consolidated balance sheet.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subject to income taxes in the U.S.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and the provision for income taxes includes the impact of reserve provisions and changes to reserves that are considered appropriate.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accruals for tax-related uncertainties are based on our best estimate of potential tax exposures. When particular matters arise, a number of years may elapse before such matters are audited by tax authorities and finally resolved. Favorable resolution of such matters could be recognized as a reduction to our effective tax rate in the year of resolution. Unfavorable resolution of any particular issue could increase the effective tax rate and may require the use of cash in the year of resolution.</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During 2024, certain tax examinations were concluded and certain statutes of limitations lapsed. Our tax provision for those years includes adjustments related to the resolution of these matters. During 2023, we settled an examination of our U.S. federal income tax returns for the periods ended December 31, 2017 through 2019. Our federal income tax returns for the years 2021 through 2023 remain subject to examination. The tax returns of significant non-U.S. subsidiaries currently under examination are located in the following jurisdictions: Israel (2021), Germany (2017 through 2021), India (2004 through 2021), and Philippines (2017 through 2023). The Company and its subsidiaries also file income tax returns in other taxing jurisdictions in the U.S. and around the world, many of which are still open to examination.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and 5 to consolidated financial statements for additional information.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Statement of operations’ captions as a percentage of net revenues and the effective tax rates were as follows: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7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7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of products sold</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162"/>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6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62"/>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6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taxes and noncontrolling interest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62"/>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 attributable to Vishay stockholders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6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________</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8"/>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(1,145.5)%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88"/>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revenues were as follows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7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r>
      <w:tr>
        <w:trPr>
          <w:trHeight w:val="142"/>
        </w:trPr>
        <w:tc>
          <w:tcPr>
            <w:tcW w:w="71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9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2,937,587</w:t>
            </w: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3,402,045</w:t>
            </w: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3,497,401</w:t>
            </w:r>
          </w:p>
        </w:tc>
      </w:tr>
      <w:tr>
        <w:trPr>
          <w:trHeight w:val="162"/>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Change versus prior year</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(464,458)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prior year</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Changes in net revenues were attributable to the following:</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7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304"/>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volume</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2"/>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r>
      <w:tr>
        <w:trPr>
          <w:trHeight w:val="16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0.7%</w:t>
            </w:r>
          </w:p>
        </w:tc>
      </w:tr>
      <w:tr>
        <w:trPr>
          <w:trHeight w:val="162"/>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r>
      <w:tr>
        <w:trPr>
          <w:trHeight w:val="16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
        </w:trPr>
        <w:tc>
          <w:tcPr>
            <w:tcW w:w="7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Net change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Despite the inventory correction that we are experiencing, the long-term prospects for our business remain favorable, and we continue to increase manufacturing capacities for critical product lines. The decrease in net revenues in 2024 is primarily due to lower sales volume and decreased average selling prices. The decrease in net revenues in 2023 was primarily sales volume-driven, partially offset by increased average selling prices.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Margins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Gross profit margins for the year ended December 31, 2024 were 21.3%, as compared to 28.6% for the year ended December 31, 2023. The decrease in gross profit margin is primarily due to lower sales volume, decreased average selling prices, and the impact of the Newport acquisition. Higher labor costs and depreciation expense also negatively impacted the gross profit margin.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Analysis of revenues and margins for our segments is provided below. Direct costs of the COVID-19 pandemic are not allocated to the segments.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MOSFETs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MOSFETs segment were as follows </w:t>
            </w: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9"/>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601,979</w:t>
            </w: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778,754</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762,260</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(176,775)</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16,494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32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MOSFETs segment net revenues were attributable to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30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volume</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66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MOSFETs segment were as follows:</w:t>
            </w: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9"/>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14.5%</w:t>
            </w: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88"/>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MOSFETs segment decreased significantly in 2024 versus the prior year. The decrease is primarily due to decreased sales to distribution customers and customers in the industrial, power supply, and automotive end markets.</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gross profit margin in 2024 decreased versus the prior year primarily due to lower sales volume and decreased average selling prices. Costs associated with the Newport wafer fab also contributed to decreases versus the prior year.</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segment operating margin decreased versus the prior year. The decreases are primarily due to gross profit margin decreases and increased segment SG&amp;A expenses associated with the Newport wafer fab.</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decreased versus the prior year.</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continue to invest to expand mid- and long-term manufacturing capacity for strategic product lines. We have begun building a 12-inch wafer fab in Itzehoe, Germany adjacent to our existing 8-inch wafer fab, which we expect will increase our in-house wafer capacity by approximately 70% by 2028 and allow us to balance our in-house and foundry wafer supply.</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acquired leading edge silicon and silicon carbide MOSFETs products with our acquisition of MaxPower in the fourth fiscal quarter of 2022. We plan to use the Newport wafer fabrication facility acquired in the first fiscal quarter of 2024 as the home for MaxPower to further develop and scale our SiC MOSFETs and diodes capabilities. The acquisitions of MaxPower Semiconductor, Inc. and the Newport wafer fab, as well as the planned capacity expansions at Itzehoe and Newport, are long-term investments which were not expected to generate significant income or cash flows in the near-term, but should greatly enhance the long-term position of our MOSFETs business. Despite the goodwill impairment charge recorded in 2024, we remain committed to these long-term projects.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93"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5"/>
              </w:rPr>
              <w:t>Diodes</w:t>
            </w:r>
          </w:p>
        </w:tc>
        <w:tc>
          <w:tcPr>
            <w:tcW w:w="6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Diodes segment were as follows </w:t>
            </w: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6"/>
        </w:trPr>
        <w:tc>
          <w:tcPr>
            <w:tcW w:w="4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1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0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581,975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690,540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765,220</w:t>
            </w:r>
          </w:p>
        </w:tc>
      </w:tr>
      <w:tr>
        <w:trPr>
          <w:trHeight w:val="16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(108,565)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(74,680)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3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Diodes segment net revenues were attributable to the following:</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4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00" w:type="dxa"/>
            <w:vAlign w:val="bottom"/>
          </w:tcPr>
          <w:p>
            <w:pPr>
              <w:spacing w:after="0"/>
              <w:rPr>
                <w:sz w:val="24"/>
                <w:szCs w:val="24"/>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304"/>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volume</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(13.1)%</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6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r>
      <w:tr>
        <w:trPr>
          <w:trHeight w:val="16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0"/>
        </w:trPr>
        <w:tc>
          <w:tcPr>
            <w:tcW w:w="4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90"/>
        </w:trPr>
        <w:tc>
          <w:tcPr>
            <w:tcW w:w="7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Diodes segment were as follows:</w:t>
            </w: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4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gridSpan w:val="11"/>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0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spacing w:after="0"/>
              <w:rPr>
                <w:sz w:val="12"/>
                <w:szCs w:val="12"/>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8"/>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23.1%</w:t>
            </w: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Diodes segment decreased significantly in 2024. The decrease versus the prior year is due to decreased sales in all regions to distribution and EMS customers and industrial, automotive, and power supply end market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margin decreased significantly versus the prior year primarily due to lower sales volume, decreased average selling prices, and higher materials, labor, and fixed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decreased significantly versus the prior year primarily due to decreased gross profit and increased SG&amp;A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decreased versus the prior year.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Optoelectronic Components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Optoelectronic Components segment were as follows </w:t>
            </w: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6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14"/>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60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6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212,368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243,146</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296,384</w:t>
            </w:r>
          </w:p>
        </w:tc>
      </w:tr>
      <w:tr>
        <w:trPr>
          <w:trHeight w:val="16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(30,778)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(53,238)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Optoelectronic Components segment net revenues were attributable to the following:</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16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304"/>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volume</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16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r>
      <w:tr>
        <w:trPr>
          <w:trHeight w:val="16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0"/>
        </w:trPr>
        <w:tc>
          <w:tcPr>
            <w:tcW w:w="16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90"/>
        </w:trPr>
        <w:tc>
          <w:tcPr>
            <w:tcW w:w="7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Optoelectronic Components segment were as follows:</w:t>
            </w: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16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1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60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6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spacing w:after="0"/>
              <w:rPr>
                <w:sz w:val="12"/>
                <w:szCs w:val="12"/>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8"/>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28.8%</w:t>
            </w: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Optoelectronic Components segment decreased versus the prior year. The decrease was primarily due to decreased sales to distribution customers and customers in the industrial and automotive end markets. Sales significantly decreased in the Europe and Americas regions, partially offset by an increase in sales in the Asia region.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gross profit margin decreased versus the prior year. The decrease is primarily due to lower sales volume, higher materials prices, and inventory obsolescence.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segment operating margin decreased primarily due to the decrease in gross profit.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decreased versus the prior year.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02"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Resistors</w:t>
            </w:r>
          </w:p>
        </w:tc>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Resistors segment were as follows </w:t>
            </w: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9"/>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725,614</w:t>
            </w: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843,472</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832,806</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(117,858)</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10,666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32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Resistors segment net revenues were attributable to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30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volume</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Resistors segment were as follows:</w:t>
            </w: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9"/>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21.9%</w:t>
            </w: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88"/>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17.3%</w:t>
            </w:r>
          </w:p>
        </w:tc>
        <w:tc>
          <w:tcPr>
            <w:tcW w:w="32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Resistors segment decreased significantly versus the prior year. The decrease was primarily due to decreased sales to distribution customers and customers in the industrial and automotive end markets. Sales decreased in the Europe and Americas regions, partially offset by an increase in sales in the Asia region.</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gross profit margin decreased versus the prior year. The decrease is due to lower sales volume, decreased average selling prices, and higher labor and materials costs, partially offset by a favorable product mix and decreased utilities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decreased versus the prior year. The decrease is primarily due to decreased gross profit.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decreased versus the prior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increasing critical manufacturing capacities for certain product lines. We continue to broaden our business with targeted acquisitions of specialty resistors businesses.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Inductors</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Inductors segment were as follows </w:t>
            </w:r>
            <w:r>
              <w:rPr>
                <w:rFonts w:ascii="Times New Roman" w:cs="Times New Roman" w:eastAsia="Times New Roman" w:hAnsi="Times New Roman"/>
                <w:sz w:val="14"/>
                <w:szCs w:val="14"/>
                <w:i w:val="1"/>
                <w:iCs w:val="1"/>
                <w:color w:val="auto"/>
              </w:rPr>
              <w:t>(dollars in thousands):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5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1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54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7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356,355</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347,392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331,086</w:t>
            </w: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7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8,963</w:t>
            </w:r>
          </w:p>
        </w:tc>
        <w:tc>
          <w:tcPr>
            <w:tcW w:w="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16,306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78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Inductors segment net revenues were attributable to the following:</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5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30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volume</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
        </w:trPr>
        <w:tc>
          <w:tcPr>
            <w:tcW w:w="5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90"/>
        </w:trPr>
        <w:tc>
          <w:tcPr>
            <w:tcW w:w="72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Inductors segment were as follows:</w:t>
            </w:r>
          </w:p>
        </w:tc>
        <w:tc>
          <w:tcPr>
            <w:tcW w:w="7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5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1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54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spacing w:after="0"/>
              <w:rPr>
                <w:sz w:val="12"/>
                <w:szCs w:val="12"/>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7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88"/>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7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28.2%</w:t>
            </w:r>
          </w:p>
        </w:tc>
      </w:tr>
    </w:tbl>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Net revenues of the Inductors segment increased slightly versus the prior year. The increase is primarily due to increased sales to EMS customers, medical, and military and aerospace end market customers, and customers in the Americas and Asia regions, partially offset by decreased sales to industrial and automotive end market customers and customers in the Europe region.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gross profit margin decreased versus the prior year. The decrease is primarily due to lower average selling prices and higher logistics and labor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decreased versus the prior year. The decrease is primarily due to decreased gross profit.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decreased versus the prior year.</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expect long-term growth in this segment, and are continuously expanding manufacturing capacity for certain product lines and evaluating acquisition opportunities, particularly of specialty businesses.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Capacitors</w:t>
            </w:r>
          </w:p>
        </w:tc>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Capacitors segment were as follows </w:t>
            </w: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1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6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459,296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498,741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509,645</w:t>
            </w:r>
          </w:p>
        </w:tc>
      </w:tr>
      <w:tr>
        <w:trPr>
          <w:trHeight w:val="16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(39,445)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(10,904)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8"/>
              </w:rPr>
              <w:t>(2.1)%</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Capacitors segment net revenues were attributable to the following:</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00" w:type="dxa"/>
            <w:vAlign w:val="bottom"/>
          </w:tcPr>
          <w:p>
            <w:pPr>
              <w:spacing w:after="0"/>
              <w:rPr>
                <w:sz w:val="24"/>
                <w:szCs w:val="24"/>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304"/>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volume</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r>
      <w:tr>
        <w:trPr>
          <w:trHeight w:val="162"/>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
        </w:trPr>
        <w:tc>
          <w:tcPr>
            <w:tcW w:w="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90"/>
        </w:trPr>
        <w:tc>
          <w:tcPr>
            <w:tcW w:w="7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Capacitors segment were as follows:</w:t>
            </w: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gridSpan w:val="11"/>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6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spacing w:after="0"/>
              <w:rPr>
                <w:sz w:val="12"/>
                <w:szCs w:val="12"/>
                <w:color w:val="auto"/>
              </w:rPr>
            </w:pPr>
          </w:p>
        </w:tc>
      </w:tr>
      <w:tr>
        <w:trPr>
          <w:trHeight w:val="16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25.3%</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188"/>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4"/>
          </w:tcPr>
          <w:p>
            <w:pPr>
              <w:ind w:left="820"/>
              <w:spacing w:after="0"/>
              <w:rPr>
                <w:sz w:val="20"/>
                <w:szCs w:val="20"/>
                <w:color w:val="auto"/>
              </w:rPr>
            </w:pPr>
            <w:r>
              <w:rPr>
                <w:rFonts w:ascii="Times New Roman" w:cs="Times New Roman" w:eastAsia="Times New Roman" w:hAnsi="Times New Roman"/>
                <w:sz w:val="14"/>
                <w:szCs w:val="14"/>
                <w:color w:val="auto"/>
                <w:w w:val="99"/>
              </w:rPr>
              <w:t>21.1%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20.6%</w:t>
            </w:r>
          </w:p>
        </w:tc>
      </w:tr>
    </w:tbl>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Net revenues of the Capacitors segment decreased versus the prior year. The decrease is primarily due to decreased sales to distribution customers, customers in the industrial and automotive end markets, and customers in the Americas and Europe regions, partially offset by increased sales to customers in the Asia region.</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gross profit margin decreased slightly versus the prior year. The decrease is due to lower sales volume, decreased average selling prices, higher labor and tantalum costs, partially offset by a favorable product mix, and decreased utilities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decreased versus the prior year. The decrease is primarily due to decreased gross profit.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have decreased slightly versus the prior year.</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 large portion of expected growth of our Capacitors segment is in high voltage high power film capacitors used for smart grid infrastructure projects. Accordingly, we acquired Birkelbach, which is being vertically integrated, to ensure we have adequate metalized film material required to fulfill this growing demand.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0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Selling, general, and administrative expenses are summarized as follows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8"/>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SG&amp;A expenses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513,564</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488,349</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443,503</w:t>
            </w: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as a percentage of sales</w:t>
            </w: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17.5%</w:t>
            </w: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w:t>
            </w:r>
          </w:p>
        </w:tc>
        <w:tc>
          <w:tcPr>
            <w:tcW w:w="2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w:t>
            </w: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SG&amp;A expenses for the year ended December 31, 2024 increased versus the year ended December 31, 2023 due to higher stock-based compensation and general cost inflation, partially offset by lower bonus compensation.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September 2024, we announced restructuring actions designed, in part, to streamline business decision making. The actions are expected to generate annualized cost savings of approximately $12 million of selling, general and administration expenses, when the actions are fully implemented by the end of 2026. However, we are also incurring additional SG&amp;A costs associated with our strategic initiatives. See "Cost Management" above.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2024 Compared to 2023</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Interest expense for the year ended December 31, 2024 increased by $2.3 million versus the year ended December 31, 2023. The increase is primarily due to the issuance of the convertible senior notes due 2030 in the third fiscal quarter of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analyzes the components of the line “Other” on the consolidated statements of operations </w:t>
      </w:r>
      <w:r>
        <w:rPr>
          <w:rFonts w:ascii="Times New Roman" w:cs="Times New Roman" w:eastAsia="Times New Roman" w:hAnsi="Times New Roman"/>
          <w:sz w:val="14"/>
          <w:szCs w:val="14"/>
          <w:i w:val="1"/>
          <w:i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677</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25,479</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31,353</w:t>
            </w: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(5,874)</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components of net periodic pension expense</w:t>
            </w: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(7,899)</w:t>
            </w:r>
          </w:p>
        </w:tc>
        <w:tc>
          <w:tcPr>
            <w:tcW w:w="7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(8,730)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831</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(519)</w:t>
            </w:r>
          </w:p>
        </w:tc>
        <w:tc>
          <w:tcPr>
            <w:tcW w:w="7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1,347</w:t>
            </w: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(1,866)</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1,013</w:t>
            </w:r>
          </w:p>
        </w:tc>
      </w:tr>
      <w:tr>
        <w:trPr>
          <w:trHeight w:val="20"/>
        </w:trPr>
        <w:tc>
          <w:tcPr>
            <w:tcW w:w="7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13"/>
                <w:szCs w:val="13"/>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19,464</w:t>
            </w:r>
          </w:p>
        </w:tc>
        <w:tc>
          <w:tcPr>
            <w:tcW w:w="240" w:type="dxa"/>
            <w:vAlign w:val="bottom"/>
          </w:tcPr>
          <w:p>
            <w:pPr>
              <w:spacing w:after="0"/>
              <w:rPr>
                <w:sz w:val="13"/>
                <w:szCs w:val="13"/>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25,263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(5,799)</w:t>
            </w:r>
          </w:p>
        </w:tc>
      </w:tr>
      <w:tr>
        <w:trPr>
          <w:trHeight w:val="20"/>
        </w:trPr>
        <w:tc>
          <w:tcPr>
            <w:tcW w:w="7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2023 Compared to 2022</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Interest expense for the year ended December 31, 2023 increased by $8.0 million versus the year ended December 31, 2022. The increase is primarily due to higher interest rates and higher average balances outstanding on the revolving credit facility in 2023 prior to September 2023 when it was paid down to $0.</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analyzes the components of the line “Other” on the consolidated statements of operations </w:t>
      </w:r>
      <w:r>
        <w:rPr>
          <w:rFonts w:ascii="Times New Roman" w:cs="Times New Roman" w:eastAsia="Times New Roman" w:hAnsi="Times New Roman"/>
          <w:sz w:val="14"/>
          <w:szCs w:val="14"/>
          <w:i w:val="1"/>
          <w:i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7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840" w:type="dxa"/>
            <w:vAlign w:val="bottom"/>
            <w:gridSpan w:val="2"/>
          </w:tcPr>
          <w:p>
            <w:pPr>
              <w:spacing w:after="0"/>
              <w:rPr>
                <w:sz w:val="12"/>
                <w:szCs w:val="12"/>
                <w:color w:val="auto"/>
              </w:rPr>
            </w:pPr>
          </w:p>
        </w:tc>
        <w:tc>
          <w:tcPr>
            <w:tcW w:w="6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w:t>
            </w:r>
          </w:p>
        </w:tc>
        <w:tc>
          <w:tcPr>
            <w:tcW w:w="38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677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5,690</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(5,013)</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31,353</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7,560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23,793</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components of net periodic pension expense</w:t>
            </w:r>
          </w:p>
        </w:tc>
        <w:tc>
          <w:tcPr>
            <w:tcW w:w="3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(8,730)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(11,090)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2,360</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(loss)</w:t>
            </w:r>
          </w:p>
        </w:tc>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1,347</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(6,812)</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8,159</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616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25,263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(4,852)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30,115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100" w:type="dxa"/>
            <w:vAlign w:val="bottom"/>
            <w:vMerge w:val="restart"/>
          </w:tcPr>
          <w:p>
            <w:pPr>
              <w:jc w:val="right"/>
              <w:ind w:right="1574"/>
              <w:spacing w:after="0"/>
              <w:rPr>
                <w:sz w:val="20"/>
                <w:szCs w:val="20"/>
                <w:color w:val="auto"/>
              </w:rPr>
            </w:pPr>
            <w:r>
              <w:rPr>
                <w:rFonts w:ascii="Times New Roman" w:cs="Times New Roman" w:eastAsia="Times New Roman" w:hAnsi="Times New Roman"/>
                <w:sz w:val="12"/>
                <w:szCs w:val="12"/>
                <w:color w:val="auto"/>
              </w:rPr>
              <w:t>54</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24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22"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2024, 2023, and 2022, the effective tax rates were (1,145.5)%, 30.4%, and 27.5%, respectively. We expect that our effective tax rate will be higher than the 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statutory rate, excluding unusual transactions. Our GAAP effective tax rate for the year ended December 31, 2024 is not meaningful at the low levels of pre-tax loss.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unusual tax transactions that impacted the effective tax rate for the years ended December 31, 2024 and December 31, 2023.</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effective tax rate for the year ended December 31, 2022 was impacted by $5.9 million of tax benefits recognized for changes in uncertain tax positions following the resolution of a tax audit, $59.6 million of tax expense recognized upon the change in indefinite reversal assertion on earnings in Germany, and $33.7 million of tax benefits recognized upon the release of a valuation allowance.</w:t>
      </w:r>
    </w:p>
    <w:p>
      <w:pPr>
        <w:spacing w:after="0" w:line="2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made the determination during the fourth fiscal quarter of 2022 that substantially all unremitted earnings in Germany were no longer indefinitely reinvested. We recorded additional tax expense during the fourth fiscal quarter of 2022 to accrue the $59.6 million of withholding taxes necessary to distribute these approximately $360.0 million of accumulated earnings to the United States.</w:t>
      </w: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operate in a global environment with significant operations in various locations outside the United States. Accordingly, the consolidated income tax rate is a composite rate reflecting our earnings and the applicable tax rates in the various locations where we operate. Part of our historical strategy has been to achieve cost savings through the transfer and expansion of manufacturing operations to countries where we can take advantage of lower labor costs and available tax and other government-sponsored incentives.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information about income taxes is included in Note 5 to our consolidated financial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54" w:name="page55"/>
    <w:bookmarkEnd w:id="54"/>
    <w:p>
      <w:pPr>
        <w:ind w:left="8"/>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p>
      <w:pPr>
        <w:spacing w:after="0" w:line="147"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4"/>
          <w:szCs w:val="14"/>
          <w:color w:val="auto"/>
        </w:rPr>
        <w:t>Our financial condition as of December 31, 2024 continued to be strong. We have historically been a strong generator of operating cash flows. The cash generated from operations is used to fund our capital expenditure plans, and cash in excess of our capital expenditure needs is available to fund our acquisition strategy, fund our stockholder return policy, and to reduce debt levels.</w:t>
      </w:r>
    </w:p>
    <w:p>
      <w:pPr>
        <w:spacing w:after="0" w:line="90"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4"/>
          <w:szCs w:val="14"/>
          <w:color w:val="auto"/>
        </w:rPr>
        <w:t>Management uses a non-GAAP measure, "free cash," to evaluate our ability to fund acquisitions, repay debt, and otherwise enhance stockholder value through stock repurchases or dividends. See "Overview" above for "free cash" definition and reconciliation to GAAP.</w:t>
      </w:r>
    </w:p>
    <w:p>
      <w:pPr>
        <w:spacing w:after="0" w:line="90"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4"/>
          <w:szCs w:val="14"/>
          <w:color w:val="auto"/>
        </w:rPr>
        <w:t>Cash flows provided by operating activities were $173.7 million for the year ended December 31, 2024, as compared to cash flows provided by operations of $365.7 million for the year ended December 31, 2023.</w:t>
      </w:r>
    </w:p>
    <w:p>
      <w:pPr>
        <w:spacing w:after="0" w:line="90"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4"/>
          <w:szCs w:val="14"/>
          <w:color w:val="auto"/>
        </w:rPr>
        <w:t>In order to manage our working capital and operating cash needs, we monitor our cash conversion cycle. The following table presents the components of our cash conversion cycle during the five fiscal quarters beginning with the fourth fiscal quarter of 2023 through the fourth fiscal quarter of 2024:</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4th Quarter 2023</w:t>
            </w:r>
          </w:p>
        </w:tc>
        <w:tc>
          <w:tcPr>
            <w:tcW w:w="320" w:type="dxa"/>
            <w:vAlign w:val="bottom"/>
          </w:tcPr>
          <w:p>
            <w:pPr>
              <w:spacing w:after="0"/>
              <w:rPr>
                <w:sz w:val="13"/>
                <w:szCs w:val="13"/>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1st Quarter 2024</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2nd Quarter 2024</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3rd Quarter 2024</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4th Quarter 2024</w:t>
            </w:r>
          </w:p>
        </w:tc>
      </w:tr>
      <w:tr>
        <w:trPr>
          <w:trHeight w:val="27"/>
        </w:trPr>
        <w:tc>
          <w:tcPr>
            <w:tcW w:w="46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98"/>
        </w:trPr>
        <w:tc>
          <w:tcPr>
            <w:tcW w:w="46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 xml:space="preserve">Days sales outstanding ("DSO") </w:t>
            </w:r>
            <w:r>
              <w:rPr>
                <w:rFonts w:ascii="Times New Roman" w:cs="Times New Roman" w:eastAsia="Times New Roman" w:hAnsi="Times New Roman"/>
                <w:sz w:val="22"/>
                <w:szCs w:val="22"/>
                <w:color w:val="auto"/>
                <w:vertAlign w:val="superscript"/>
              </w:rPr>
              <w:t>(a)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w:t>
            </w: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w:t>
            </w: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w:t>
            </w:r>
          </w:p>
        </w:tc>
      </w:tr>
      <w:tr>
        <w:trPr>
          <w:trHeight w:val="198"/>
        </w:trPr>
        <w:tc>
          <w:tcPr>
            <w:tcW w:w="4680" w:type="dxa"/>
            <w:vAlign w:val="bottom"/>
          </w:tcPr>
          <w:p>
            <w:pPr>
              <w:spacing w:after="0" w:line="198" w:lineRule="exact"/>
              <w:rPr>
                <w:sz w:val="20"/>
                <w:szCs w:val="20"/>
                <w:color w:val="auto"/>
              </w:rPr>
            </w:pPr>
            <w:r>
              <w:rPr>
                <w:rFonts w:ascii="Times New Roman" w:cs="Times New Roman" w:eastAsia="Times New Roman" w:hAnsi="Times New Roman"/>
                <w:sz w:val="14"/>
                <w:szCs w:val="14"/>
                <w:color w:val="auto"/>
              </w:rPr>
              <w:t xml:space="preserve">Days inventory outstanding ("DIO") </w:t>
            </w:r>
            <w:r>
              <w:rPr>
                <w:rFonts w:ascii="Times New Roman" w:cs="Times New Roman" w:eastAsia="Times New Roman" w:hAnsi="Times New Roman"/>
                <w:sz w:val="22"/>
                <w:szCs w:val="22"/>
                <w:color w:val="auto"/>
                <w:vertAlign w:val="superscript"/>
              </w:rPr>
              <w:t>(b)</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104</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106</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109</w:t>
            </w:r>
          </w:p>
        </w:tc>
      </w:tr>
      <w:tr>
        <w:trPr>
          <w:trHeight w:val="198"/>
        </w:trPr>
        <w:tc>
          <w:tcPr>
            <w:tcW w:w="46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 xml:space="preserve">Days payable outstanding ("DPO") </w:t>
            </w:r>
            <w:r>
              <w:rPr>
                <w:rFonts w:ascii="Times New Roman" w:cs="Times New Roman" w:eastAsia="Times New Roman" w:hAnsi="Times New Roman"/>
                <w:sz w:val="22"/>
                <w:szCs w:val="22"/>
                <w:color w:val="auto"/>
                <w:vertAlign w:val="superscript"/>
              </w:rPr>
              <w:t>(c)</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w:t>
            </w: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w:t>
            </w: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r>
      <w:tr>
        <w:trPr>
          <w:trHeight w:val="20"/>
        </w:trPr>
        <w:tc>
          <w:tcPr>
            <w:tcW w:w="4680" w:type="dxa"/>
            <w:vAlign w:val="bottom"/>
            <w:tcBorders>
              <w:right w:val="single" w:sz="8" w:color="auto"/>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r>
      <w:tr>
        <w:trPr>
          <w:trHeight w:val="16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Cash conversion cycle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128</w:t>
            </w:r>
          </w:p>
        </w:tc>
      </w:tr>
      <w:tr>
        <w:trPr>
          <w:trHeight w:val="20"/>
        </w:trPr>
        <w:tc>
          <w:tcPr>
            <w:tcW w:w="4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3" w:lineRule="exact"/>
        <w:rPr>
          <w:sz w:val="20"/>
          <w:szCs w:val="20"/>
          <w:color w:val="auto"/>
        </w:rPr>
      </w:pPr>
    </w:p>
    <w:p>
      <w:pPr>
        <w:ind w:left="148" w:hanging="148"/>
        <w:spacing w:after="0"/>
        <w:tabs>
          <w:tab w:leader="none" w:pos="14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DSO measures the average collection period of our receivables. DSO is calculated by dividing the average accounts receivable by the average net revenue per day for the respective fiscal quarter.</w:t>
      </w:r>
    </w:p>
    <w:p>
      <w:pPr>
        <w:spacing w:after="0" w:line="1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DIO measures the average number of days from procurement to sale of our product. DIO is calculated by dividing the average inventory by average cost of goods sold per day for the respective fiscal quarter.</w:t>
      </w:r>
    </w:p>
    <w:p>
      <w:pPr>
        <w:spacing w:after="0" w:line="6"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DPO measures the average number of days our payables remain outstanding before payment. DPO is calculated by dividing the average accounts payable by the average cost of goods sold per day for the respective fiscal quarter.</w:t>
      </w:r>
    </w:p>
    <w:p>
      <w:pPr>
        <w:spacing w:after="0" w:line="132"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4"/>
          <w:szCs w:val="14"/>
          <w:color w:val="auto"/>
        </w:rPr>
        <w:t>Cash paid for property and equipment for the year ended December 31, 2024 was $320.1 million, as compared to $329.4 million for the year ended December 31, 2023. To be well positioned to service our customers and to fully participate in growing markets, we have increased and expect to maintain a relatively high level of capital expenditures for expansion in the mid-term. We remain committed to our long-term plan of increasing Vishay's capacity, to assure our customers of reliable volume as they scale. While we plan to advance our capacity expansion projects, we have and will continue to modulate the spending in response to order flow and the timing of customer demand and qualifications. The decreased lead time for equipment and the increased subcontractor capacity are also variables that allow us to adjust our capacity spending. For 2025, we plan to spend between $300 million to $350 million, at least 70% of which will be invested in capacity expansion projects for high growth product lines, including our wafer fab expansions.</w:t>
      </w:r>
    </w:p>
    <w:p>
      <w:pPr>
        <w:spacing w:after="0" w:line="114"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Free cash flow for the year ended December 31, 2024 decreased versus the year ended December 31, 2023 primarily due to decreased net earnings. We expect that free cash flow will be negatively impacted by the expected high level of capital expenditures for expansion in 2023 - 2025 after which we expect to generate increasingly higher levels of free cash. There is no assurance, however, that we will be able to continue to generate cash flows from operations and free cash at our historical levels, or at all, going forward if the economic environment worsens.</w:t>
      </w:r>
    </w:p>
    <w:p>
      <w:pPr>
        <w:spacing w:after="0" w:line="105"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4"/>
          <w:szCs w:val="14"/>
          <w:color w:val="auto"/>
        </w:rPr>
        <w:t>In 2022, our Board of Directors adopted a Stockholder Return Policy that will remain in effect until such time as the Board votes to amend or rescind the policy. See “Stockholder Return Policy” above for additional information.</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9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the components of net cash and short-term investments (debt)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95,102</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senior notes, due 2030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financing costs</w:t>
            </w: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(22,892)</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(26,914)</w:t>
            </w:r>
          </w:p>
        </w:tc>
      </w:tr>
      <w:tr>
        <w:trPr>
          <w:trHeight w:val="16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w:t>
            </w: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905,019</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818,188</w:t>
            </w:r>
          </w:p>
        </w:tc>
        <w:tc>
          <w:tcPr>
            <w:tcW w:w="120" w:type="dxa"/>
            <w:vAlign w:val="bottom"/>
            <w:shd w:val="clear" w:color="auto" w:fill="CCEEFF"/>
          </w:tcPr>
          <w:p>
            <w:pPr>
              <w:spacing w:after="0"/>
              <w:rPr>
                <w:sz w:val="13"/>
                <w:szCs w:val="13"/>
                <w:color w:val="auto"/>
              </w:rPr>
            </w:pPr>
          </w:p>
        </w:tc>
      </w:tr>
      <w:tr>
        <w:trPr>
          <w:trHeight w:val="144"/>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590,286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972,719</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35,808</w:t>
            </w:r>
          </w:p>
        </w:tc>
      </w:tr>
      <w:tr>
        <w:trPr>
          <w:trHeight w:val="144"/>
        </w:trPr>
        <w:tc>
          <w:tcPr>
            <w:tcW w:w="8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Net cash and short-term investments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(298,603)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190,339</w:t>
            </w:r>
          </w:p>
        </w:tc>
      </w:tr>
      <w:tr>
        <w:trPr>
          <w:trHeight w:val="20"/>
        </w:trPr>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"Net cash and short-term investments (debt)" does not have a uniform definition and is not recognized in accordance with GAAP. This measure should not be viewed as an alternative to GAAP measures of performance or liquidity. However, management believes that an analysis of "net cash and short-term investments (debt)" assists investors in understanding aspects of our cash and debt management. The measure, as calculated by us, may not be comparable to similarly titled measures used by other companies.</w:t>
      </w:r>
    </w:p>
    <w:p>
      <w:pPr>
        <w:spacing w:after="0" w:line="200" w:lineRule="exact"/>
        <w:rPr>
          <w:sz w:val="20"/>
          <w:szCs w:val="20"/>
          <w:color w:val="auto"/>
        </w:rPr>
      </w:pPr>
    </w:p>
    <w:p>
      <w:pPr>
        <w:spacing w:after="0" w:line="3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668" w:right="29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4"/>
          <w:szCs w:val="14"/>
          <w:color w:val="auto"/>
        </w:rPr>
        <w:t>We invest a portion of our excess cash in highly liquid, high-quality instruments with maturities greater than 90 days, but less than 1 year, which we classify as short-term investments on our consolidated balance sheets. As these investments were funded using a portion of excess cash and represent a significant aspect of our cash management strategy, we include the investments in the calculation of net cash and short-term investments (debt).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interest rates on our short-term investments vary by location. Transactions related to these investments are classified as investing activities on our consolidated statements of cash flows.</w:t>
      </w:r>
    </w:p>
    <w:p>
      <w:pPr>
        <w:spacing w:after="0" w:line="16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Our business is geographically diverse and our cash is generated by our subsidiaries around the world. Cash dividends to stockholders, share repurchases, and principal and interest payments on our debt instruments need to be paid by the U.S. parent company, Vishay Intertechnology, Inc. We continue to allocate capital responsibly between our business, our lenders, and our stockholders. The capital allocated to our business is further allocated between our subsidiaries to meet local operating cash needs, to fund capital expenditures as part of our growth plan, and to meet corporate funding needs while also aiming to minimize our tax expense.</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During the second fiscal quarter of 2024, we repatriated $120 million of accumulated earnings to the United States and paid withholding taxes in Israel of $15 million. As of December 31, 2024, $17 million of our cash and cash equivalents and short-term investments were held by our U.S. subsidiaries. As of December 31, 2024, we are in a net borrowing position in the U.S. and we expect to continue to be at least through the first half of 2025 based on expected cash payments pursuant to our Stockholder Return Policy and funding of the Newport expansion. As of December 31, 2024, we have approximately $515 million of German and Israeli earnings that are deemed not indefinitely reinvested. Based on the expected timing of future repatriations, we estimate that the tax liability to repatriate these unremitted earnings will be approximately $77 million, which has been accrued, but will only be paid upon repatriation of the unremitted earnings. Repatriating these unremitted earnings earlier than currently planned may not be possible and may incur additional tax expense. We also have amounts of unremitted foreign earnings held by subsidiaries in countries other than Israel and Germany, which continue to be reinvested indefinitely, that we have not accrued for the incremental foreign income taxes and withholding taxes payable to foreign jurisdictions that would be incurred to repatriate these amounts. Certain of these subsidiaries are located in countries with restrictive regulations and high tax rates for repatriating cash. Due to the uncertainties associated with the ability, timing, and method to repatriate these unremitted earnings and other complexities associated with its hypothetical calculation, determination of the amount of tax expense that would be incurred to repatriate the unremitted earnings is not practicable, but could be significant. Our undrawn credit facility provides us with adequate operating liquidity in the United States.</w:t>
      </w:r>
    </w:p>
    <w:p>
      <w:pPr>
        <w:spacing w:after="0" w:line="3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Upon successful completion of our growth plan, we expect to generate increasingly higher levels of free cash that will be sufficient to meet our long-term financing needs related to normal operating requirements, regular dividend payments, share repurchases pursuant to our Stockholder Return Policy, while allowing us to manage our repatriation and financing activities to minimize tax and interest expense. During the current period of intensified capital expenditures to achieve our growth plans, we are considering a combination of additional and alternative sources of financing and our cash on hand to fund a portion of the capital expenditures that would conserve cash for future acquisitions while enabling us to minimize tax expense.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maintain a $750 million revolving credit agreement with a consortium of banks led by JPMorgan Chase Bank, N.A., that matures on May 8, 2028. The maximum amount available on the revolving credit facility is restricted by the financial covenants described below. The credit facility also provides us the ability to request up to $300 million of incremental facilities, subject to the satisfaction of certain conditions, which could take the form of additional revolving commitments, incremental “term loan A” or “term loan B” facilities, or incremental equivalent debt.</w:t>
      </w:r>
    </w:p>
    <w:p>
      <w:pPr>
        <w:spacing w:after="0" w:line="1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credit facility limits or restricts us from, among other things, incurring indebtedness, incurring liens on its respective assets, making investments and acquisitions (assuming our pro forma net leverage ratio is greater than 2.75 to 1.00), making asset sales, and paying cash dividends and making other restricted payments (assuming our pro forma net leverage ratio is greater than 2.50 to 1.00).</w:t>
      </w: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On August 15, 2024, we entered into an amendment to the credit facility that redefined the Interest Coverage Ratio to remove Capital Expenditures from the calculation and increased the minimum Interest Coverage Ratio to 3.25 to 1.00, among other changes.</w:t>
      </w:r>
    </w:p>
    <w:p>
      <w:pPr>
        <w:spacing w:after="0" w:line="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were in compliance with all financial covenants under the credit facility at December 31, 2024. Our interest coverage ratio and net leverage ratio were 16.01 to 1 and 1.94 to 1, respectively. We expect to continue to be in compliance with these covenants based on current projections. Based on our current EBITDA and outstanding revolver balance, the usable capacity on the credit facility is approximately $467 million.</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If we are not in compliance with all of the required financial covenants, the credit facility could be terminated by the lenders, and any amounts then outstanding pursuant to the credit facility could become immediately payable. Additionally, our convertible senior notes due 2025 and due 2030 have cross-default provisions that could accelerate repayment in the event the indebtedness under the credit facility is accelerated. The maturity date of the credit facility will accelerate if within ninety-one days prior to the maturity of our convertible senior notes due 2025, the outstanding principal amount of such notes exceeds a defined liquidity measure as set forth in the credit facility. The repurchase of $370.2 million principal amount of convertible senior notes due 2025 in 2023 and an additional $53.2 million principal amount of our convertible senior notes due 2025 in 2024 significantly reduces the risk that the maturity date of the credit facility will accelerate. The 2024 repurchases were funded with a draw on our revolving credit facility.</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Borrowings under the credit facility bear interest at variable reference rates plus an interest margin. The applicable interest margin is based on our total leverage ratio. We also pay a commitment fee, also based on our total leverage ratio, on undrawn amounts. U.S. dollar borrowings under the credit facility are based on SOFR (including a customary spread adjustment). Borrowings in foreign currencies bear interest at currency-specific reference rates plus an interest margin. Based on our current total leverage ratio of 2.64 to 1, any new U.S. dollar borrowings will bear interest at SOFR plus 2.10% (including the applicable credit spread), and the undrawn commitment fee is 0.35% per annum.</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4"/>
          <w:szCs w:val="14"/>
          <w:color w:val="auto"/>
        </w:rPr>
        <w:t>The 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Vishay and certain significant subsidiaries located in the United States, and pledges of stock in certain subsidiaries; and are guaranteed by certain significant subsidiaries.</w:t>
      </w:r>
    </w:p>
    <w:p>
      <w:pPr>
        <w:spacing w:after="0" w:line="1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had no amount outstanding on our revolving credit facility at December 31, 2023 and $136 million outstanding at December 31, 2024. We borrowed $183 million and repaid $47 million on the revolving credit facility during the fiscal year ended December 31, 2024. The average outstanding balance on our revolving credit facility calculated at fiscal month-ends was $34 million and the highest amount outstanding at a fiscal month end was $136 million during the fiscal year ended December 31, 2024. We expect, at least initially, to fund certain future obligations required to be paid by the U.S. parent company by borrowing under our credit facility. We also expect to continue to use the credit facility from time-to-time to meet certain short-term financing needs. Additional acquisition activity, convertible debt repurchases, or conversion of our convertible debt instruments may require additional borrowing under our credit facility or may otherwise require us to incur additional debt. Except for the maturity of $41.9 of convertible senior notes due 2025, which will be funded by the revolving credit facility, no principal amounts of our debt are due until 2028.</w:t>
      </w:r>
    </w:p>
    <w:p>
      <w:pPr>
        <w:spacing w:after="0" w:line="2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convertible senior notes due 2025 became convertible on December 15, 2024 and will remain convertible until maturity. The convertible senior notes due 2030 are not currently convertible. Pursuant to the indenture governing the convertible senior notes due 2030, we will cash-settle the principal amount of $1,000 per note and settle any additional amounts in cash or shares of our common stock. Pursuant to the indenture governing the convertible senior notes due 2025 and the amendments thereto incorporated in the Supplemental Indenture dated December 23, 2020, we will cash-settle the principal amount of $1,000 per note and settle any additional amounts in shares of our common stock. We intend to finance the principal amount of any converted notes using borrowings under our credit facility. No conversions have occurred to date. We have the intent and ability to finance the principal amount of the convertible senior notes due 2025 using borrowings under our credit facility upon maturity of the notes.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 xml:space="preserve">In evaluating our liquidity and capital resources, we consider our outstanding commitments. As of December 31, 2024 our commitments were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Payments due by period</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2027</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2028</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2029</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120" w:type="dxa"/>
            <w:vAlign w:val="bottom"/>
          </w:tcPr>
          <w:p>
            <w:pPr>
              <w:spacing w:after="0"/>
              <w:rPr>
                <w:sz w:val="12"/>
                <w:szCs w:val="12"/>
                <w:color w:val="auto"/>
              </w:rPr>
            </w:pPr>
          </w:p>
        </w:tc>
      </w:tr>
      <w:tr>
        <w:trPr>
          <w:trHeight w:val="142"/>
        </w:trPr>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927,911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41,911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136,000</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750,000</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Interest payments on long-term debt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134,963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28,688</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28,256</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28,256</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20,935</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16,875</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11,953</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159,089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26,681</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22,803</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19,266</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15,724</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13,690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60,925</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Letters of credit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2,062</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pension and postretirement plan funding</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182,947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20,182</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18,855</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17,601</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23,412</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18,773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84,124</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Estimated costs to complete construction in progress</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158,900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33,200</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4,500</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Estimated costs to complete MOSFETs wafer fab</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337,200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143,200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168,100</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25,900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TCJA transition tax</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47,027</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47,027</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Uncertain tax positions</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14,647</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13,132</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Purchase commitments</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85,791</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74,551</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8,295</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2,945</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90,954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90,954</w:t>
            </w:r>
          </w:p>
        </w:tc>
      </w:tr>
      <w:tr>
        <w:trPr>
          <w:trHeight w:val="20"/>
        </w:trPr>
        <w:tc>
          <w:tcPr>
            <w:tcW w:w="2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Total contractual cash obligations</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2,141,491</w:t>
            </w:r>
          </w:p>
        </w:tc>
        <w:tc>
          <w:tcPr>
            <w:tcW w:w="22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504,955</w:t>
            </w:r>
          </w:p>
        </w:tc>
        <w:tc>
          <w:tcPr>
            <w:tcW w:w="22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279,509</w:t>
            </w:r>
          </w:p>
        </w:tc>
        <w:tc>
          <w:tcPr>
            <w:tcW w:w="22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98,468</w:t>
            </w:r>
          </w:p>
        </w:tc>
        <w:tc>
          <w:tcPr>
            <w:tcW w:w="22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198,133</w:t>
            </w:r>
          </w:p>
        </w:tc>
        <w:tc>
          <w:tcPr>
            <w:tcW w:w="22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49,338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1,011,088</w:t>
            </w:r>
          </w:p>
        </w:tc>
      </w:tr>
      <w:tr>
        <w:trPr>
          <w:trHeight w:val="20"/>
        </w:trPr>
        <w:tc>
          <w:tcPr>
            <w:tcW w:w="2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Commitments for long-term debt are based on the amount required to settle the obligation. Accordingly, the capitalized deferred financing costs associated with our convertible notes are excluded from the calculation of long-term debt commitments in the table above. The amounts due in 2025 are expected to be refinanced on a long-term basis.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Commitments for interest payments on long-term debt are cash commitments based on the stated maturity dates of each agreement and include fees under our revolving credit facility, which expires on May 8, 2028. Commitments for interest payments on long-term debt exclude non-cash interest expense related to the amortization of deferred financing costs.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Various factors could have a material effect on the amount of future principal and interest payments. Principal and interest commitments associated with our convertible notes are based on the amounts outstanding as of December 31, 2024. Additionally, interest commitments for our revolving credit facility are based on the rate prevailing at December 31, 2024, but actual rates are variable and are certain to change over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pay the final increment of the TCJA transition tax in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costs to complete the MOSFETs wafer fab and the Newport wafer fab include amounts that we are not contractually required to complete.</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consolidated balance sheet at December 31, 2024 includes liabilities associated with uncertain tax positions in multiple taxing jurisdictions where we conduct business. Due to the uncertain and complex application of tax regulations, combined with the difficulty in predicting when tax audits throughout the world may be concluded, we cannot make reliable estimates of the timing of the remaining cash outflows relating to these liabilities. Accordingly, we have classified all non-current uncertain tax positions as payments due thereafter, although actual timing of payments may be sooner.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Expected pension and postretirement plan funding is based on a projected schedule of benefit payments under the plans.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maintain long-term arrangements with subcontractors, suppliers, and other business partners to ensure access to external capacity and supplies for certain products. The purchase commitments in the table above represent the estimated minimum commitments under these arrangements. Our actual purchases in future periods are expected to be greater than these minimum commitments.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long-term liabilities in the table above include obligations that are reflected on our consolidated balance sheets as of December 31, 2024. We include the current portion of the long-term liabilities in the table above. Other long-term liabilities for which we are unable to reasonably estimate the timing of the settlement are classified as payments due thereafter in the table above, although actual timing of payments may be sooner.</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For a further discussion of our long-term debt, pensions and other postretirement benefits, leases, uncertain tax positions, and purchase commitments, see Notes 2, 4, 5, 6, 11, and 13 to our consolidated financial statements.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3" w:right="299" w:bottom="1440" w:gutter="0" w:footer="0" w:header="0"/>
        </w:sectPr>
      </w:pPr>
    </w:p>
    <w:bookmarkStart w:id="58" w:name="page59"/>
    <w:bookmarkEnd w:id="58"/>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7A.</w:t>
      </w:r>
      <w:r>
        <w:rPr>
          <w:sz w:val="20"/>
          <w:szCs w:val="20"/>
          <w:color w:val="auto"/>
        </w:rPr>
        <w:tab/>
      </w:r>
      <w:r>
        <w:rPr>
          <w:rFonts w:ascii="Times New Roman" w:cs="Times New Roman" w:eastAsia="Times New Roman" w:hAnsi="Times New Roman"/>
          <w:sz w:val="14"/>
          <w:szCs w:val="14"/>
          <w:b w:val="1"/>
          <w:bCs w:val="1"/>
          <w:u w:val="single" w:color="auto"/>
          <w:color w:val="auto"/>
        </w:rPr>
        <w:t>QUANTITATIVE AND QUALITATIVE DISCLOSURES ABOUT MARKET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Disclosure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exposed to certain financial risks, including fluctuations in foreign currency exchange rates, interest rates, and commodity prices. We manage our exposure to these market risks through internally established policies and procedures and, when deemed appropriate, through the use of derivative financial instruments. Our policies do not allow speculation in derivative instruments for profit or execution of derivative instrument contracts for which there are no underlying exposures. We do not use financial instruments for trading purposes and we are not a party to any leveraged derivatives. We monitor our underlying market risk exposures on an ongoing basis and believe that we can modify or adapt our hedging strategies as needed.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exposed to changes in interest rates as a result of our borrowing activities and our cash balances. On a selective basis, we have in the past entered into interest rate swap or cap agreements to reduce the potential negative impact that increases in interest rates could have on our outstanding variable rate debt. As of December 31, 2024, 2023, and 2022 we did not have any outstanding interest rate swap or cap agreements.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interest paid on our credit facilities is based on variable reference rates and an interest margin. At December 31, 2024, we had $136 million outstanding under our revolving credit facilities.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U.S. dollar borrowings under the revolving credit commitment will bear interest at SOFR plus 2.10%.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convertible debt instruments bear interest at a fixed rate, and accordingly are not subject to interest rate fluctuation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we had $590.3 million of cash and cash equivalents and $16.1 million of short-term investments, which earn interest at various variable rates.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Based on the debt and cash positions at December 31, 2024, we would expect a 50 basis point increase or decrease in interest rates to increase or decrease our annualized net earnings by approximately $1.4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6 to our consolidated financial statements for additional information about our long-term debt.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Exchange Risk</w:t>
      </w:r>
    </w:p>
    <w:p>
      <w:pPr>
        <w:spacing w:after="0" w:line="1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are exposed to foreign currency exchange rate risks, particularly due to market values of transactions in currencies other than the functional currencies of certain subsidiaries. We have used forward exchange contracts to economically hedge a portion of these exposures in the past. We had no outstanding forward contracts as of December 31, 2024. We do not utilize derivatives or other financial instruments for trading or other speculative purposes.</w:t>
      </w:r>
    </w:p>
    <w:p>
      <w:pPr>
        <w:spacing w:after="0" w:line="1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significant foreign subsidiaries are located in Germany, Israel, the United Kingdom, and Asia. We finance our operations in Europe and certain locations in Asia in local currencies. Our operations in Israel, the United Kingdom,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Israel, the Czech Republic, the United Kingdom, and China because the percentage of expenses denominated in Israeli shekels, Czech koruna, British sterling and Chinese renminbi to total expenses is much greater than the percentage of sales denominated in Israeli shekels, Czech koruna, British sterling, and Chinese renminbi to total sales. Therefore, if the Israeli shekel, Czech koruna, British sterling, and Chinese renminbi strengthen against all or most of our other major currencies, our operating profit is reduced. Where possible, we maintain local currency denominated cash balances in these countries approximately equal to the local currency liabilities to naturally hedge our exposures. We also have a slightly higher percentage of euro-denominated sales than expenses. Therefore, when the euro strengthens against all or most of our other major currencies, our operating profit is slightly increased. Accordingly, we monitor several important cross-rates.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59" w:name="page60"/>
    <w:bookmarkEnd w:id="59"/>
    <w:p>
      <w:pPr>
        <w:jc w:val="both"/>
        <w:spacing w:after="0" w:line="249" w:lineRule="auto"/>
        <w:rPr>
          <w:sz w:val="20"/>
          <w:szCs w:val="20"/>
          <w:color w:val="auto"/>
        </w:rPr>
      </w:pPr>
      <w:r>
        <w:rPr>
          <w:rFonts w:ascii="Times New Roman" w:cs="Times New Roman" w:eastAsia="Times New Roman" w:hAnsi="Times New Roman"/>
          <w:sz w:val="14"/>
          <w:szCs w:val="14"/>
          <w:color w:val="auto"/>
        </w:rPr>
        <w:t>We have performed sensitivity analyses of our consolidated foreign exchange risk as of December 31, 2024, using a model that measures the change in the values arising from a hypothetical 10% adverse movement in foreign currency exchange rates relative to the U.S. dollar, with all other variables held constant. The foreign currency exchange rates we used were based on market rates in effect at December 31, 2024. The sensitivity analyses indicated that a hypothetical 10% adverse movement in foreign currency exchange rates would impact our net earnings by approximately $23.2 million at December 31, 2024. The impact on individual line items in our consolidated statement of operations or on individual subsidiaries could be materially different. For example, a 10% weakening in all foreign currencies would decrease the U.S. dollar equivalent of operating income generated in foreign currencies, which would be offset by foreign exchange gains of our foreign subsidiaries that have significant transactions in U.S. dollars or have the U.S. dollar as their functional currency.</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change in the mix of the currencies in which we transact our business could have a material effect on the estimated impact of the hypothetical 10% movement in the value of the U.S. dollar. Furthermore, the timing of cash receipts and disbursements could result in materially different actual results versus the hypothetical 10% movement in the value of the U.S. dollar, particularly if there are significant changes in exchange rates in a short period of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Although most materials incorporated in our products are available from a number of sources, certain materials are available only from a relatively limited number of suppliers or are subject to significant price volatility. Our results of operations may be materially and adversely affected if we have difficulty obtaining these raw materials, the quality of available raw materials deteriorates, or there are significant price changes for these raw materials. The determination that any of the raw materials used in our products are conflict minerals originating from the Democratic Republic of the Congo and adjoining countries could increase the probability that we will encounter the challenges noted above, incur additional expenses to comply with government regulations, and face public scrutiny. For periods in which the prices of these raw materials are rising, we may be unable to pass on the increased cost to our customers which would result in decreased margins for the products in which they are used. For periods in which the prices are declining, we may be required to write down our inventory carrying cost of these raw materials, since we record our inventory at the lower of cost or market. Depending on the extent of the difference between market price and our carrying cost, this write-down could have a material adverse effect on our net earnings. We also may need to record losses for adverse purchase commitments for these materials in periods of declining prices.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Silicon wafers are the most important raw material for the manufacturing of our semiconductor products. Silicon wafers are manufactured from high-purity silicon, a metalloid. There have at times been industry-wide shortages of high-purity silicon resulting primarily from growing demand of the electronic component and solar power industries, and limited growth in high-purity silicon manufacturing capacities. Shifts in demand for high-purity silicon and in turn, silicon wafers, have resulted in significant fluctuation in prices of silicon wafers.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are a major consumer of the world’s annual production of tantalum, a metal used in the manufacturing of tantalum capacitors. There are few suppliers that process tantalum ore into capacitor grade tantalum powder.</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Palladium, a metal used to produce multi-layer ceramic capacitors, is currently found primarily in South Africa and Russia. Palladium is a commodity metal that is subject to price volatility. Certain other metals used in the manufacture of our products, such as copper, are traded on active markets, and can also be subject to significant price volatility. We periodically enter into short-term commitments to purchase palladium and defined portions of annual consumption of other metals if market prices decline below budget. In certain circumstances, we also purchase precious metals bullion in excess of our immediate manufacturing needs to mitigate the risk of supply shortages or volatile price fluctuations.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estimate that a 10% increase or decrease in the costs of raw materials subject to commodity price risk would decrease or increase our net earnings by $8.9 million, assuming that such changes in our costs have no impact on the selling prices of our products and that we have no pending commitments to purchase metals at fixed prices.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60" w:name="page61"/>
    <w:bookmarkEnd w:id="60"/>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8.</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AND SUPPLEMENTARY DATA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required by this Item are filed herewith, commencing on page F-1 of this report.</w:t>
      </w:r>
    </w:p>
    <w:p>
      <w:pPr>
        <w:spacing w:after="0" w:line="1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9.</w:t>
      </w:r>
      <w:r>
        <w:rPr>
          <w:sz w:val="20"/>
          <w:szCs w:val="20"/>
          <w:color w:val="auto"/>
        </w:rPr>
        <w:tab/>
      </w:r>
      <w:r>
        <w:rPr>
          <w:rFonts w:ascii="Times New Roman" w:cs="Times New Roman" w:eastAsia="Times New Roman" w:hAnsi="Times New Roman"/>
          <w:sz w:val="14"/>
          <w:szCs w:val="14"/>
          <w:b w:val="1"/>
          <w:bCs w:val="1"/>
          <w:u w:val="single" w:color="auto"/>
          <w:color w:val="auto"/>
        </w:rPr>
        <w:t>CHANGES IN AND DISAGREEMENTS WITH ACCOUNTANTS ON ACCOUNTING AND FINANCIAL DISCLOSURE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9A.</w:t>
      </w:r>
      <w:r>
        <w:rPr>
          <w:sz w:val="20"/>
          <w:szCs w:val="20"/>
          <w:color w:val="auto"/>
        </w:rPr>
        <w:tab/>
      </w:r>
      <w:r>
        <w:rPr>
          <w:rFonts w:ascii="Times New Roman" w:cs="Times New Roman" w:eastAsia="Times New Roman" w:hAnsi="Times New Roman"/>
          <w:sz w:val="14"/>
          <w:szCs w:val="14"/>
          <w:b w:val="1"/>
          <w:bCs w:val="1"/>
          <w:u w:val="single" w:color="auto"/>
          <w:color w:val="auto"/>
        </w:rPr>
        <w:t>CONTROLS AND PROCEDURES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An evaluation was performed under the supervision and with the participation of our management, including the Chief Executive Officer (“CEO”) and Chief Financial Officer (“CFO”), of the effectiveness of the design and operation of our disclosure controls and procedures, as such term is defined under Rule 13a-15(e) and Rule 15d-15(e) promulgated under the Securities Exchange Act of 1934, as amended. Based on that evaluation, our CEO and CFO concluded that our disclosure controls and procedures were effective as of the end of the period covered by this annual report to ensure that information required to be disclosed in reports that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our last fiscal quarter that have materially affected, or are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certifications of our CEO and CFO pursuant to Section 302 of the Sarbanes-Oxley Act of 2002 are filed as Exhibits 31.1 and 31.2 to this Annual Report on Form 10-K. We have also filed with the New York Stock Exchange the most recent Annual Certification as required by Section 303A.12(a) of the New York Stock Exchange Listed Company Manual.</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CEO and CFO, we conducted an evaluation of the effectiveness of our internal control over financial reporting as of December 31, 2024 based on the 2013 framework set forth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issued by the Committee of Sponsoring Organizations of the Treadway Commission. Based on that evaluation, our management concluded that our internal control over financial reporting was effective as of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Ernst &amp; Young LLP has issued an attestation report on the effectiveness of our internal control over financial reporting. Their report is set forth below.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61" w:name="page62"/>
    <w:bookmarkEnd w:id="61"/>
    <w:p>
      <w:pPr>
        <w:ind w:left="384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Vishay Intertechnology,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4"/>
          <w:szCs w:val="14"/>
          <w:color w:val="auto"/>
        </w:rPr>
        <w:t>We have audited Vishay Intertechnology, Inc.’s internal control over financial reporting as of December 31, 2024, based on criteria established in Internal Control—Integrated Framework issued by the Committee of Sponsoring Organizations of the Treadway Commission (2013 framework) (the COSO criteria). In our opinion, Vishay Intertechnology, Inc. (the Company) maintained, in all material respects, effective internal control over financial reporting as of December 31, 2024, based on the COSO criteria.</w:t>
      </w:r>
    </w:p>
    <w:p>
      <w:pPr>
        <w:spacing w:after="0" w:line="11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2024 and 2023, and the related consolidated statements of operations, comprehensive income, stockholders’ equity, and cash flows for each of the three years in the period ended December 31, 2024, and the related notes and our report dated February 14, 2025 expressed an unqualified opinion thereon.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14,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62" w:name="page63"/>
    <w:bookmarkEnd w:id="62"/>
    <w:p>
      <w:pPr>
        <w:spacing w:after="0"/>
        <w:tabs>
          <w:tab w:leader="none" w:pos="1360" w:val="left"/>
        </w:tabs>
        <w:rPr>
          <w:sz w:val="20"/>
          <w:szCs w:val="20"/>
          <w:color w:val="auto"/>
        </w:rPr>
      </w:pPr>
      <w:r>
        <w:rPr>
          <w:rFonts w:ascii="Times New Roman" w:cs="Times New Roman" w:eastAsia="Times New Roman" w:hAnsi="Times New Roman"/>
          <w:sz w:val="14"/>
          <w:szCs w:val="14"/>
          <w:b w:val="1"/>
          <w:bCs w:val="1"/>
          <w:u w:val="single" w:color="auto"/>
          <w:color w:val="auto"/>
        </w:rPr>
        <w:t>Item 9B.</w:t>
      </w:r>
      <w:r>
        <w:rPr>
          <w:sz w:val="20"/>
          <w:szCs w:val="20"/>
          <w:color w:val="auto"/>
        </w:rPr>
        <w:tab/>
      </w:r>
      <w:r>
        <w:rPr>
          <w:rFonts w:ascii="Times New Roman" w:cs="Times New Roman" w:eastAsia="Times New Roman" w:hAnsi="Times New Roman"/>
          <w:sz w:val="14"/>
          <w:szCs w:val="14"/>
          <w:b w:val="1"/>
          <w:bCs w:val="1"/>
          <w:u w:val="single" w:color="auto"/>
          <w:color w:val="auto"/>
        </w:rPr>
        <w:t>OTHER INFORMATION</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None of our directors or executive officers adopted or terminated a Rule 10b5-1 trading arrangement or adopted or terminated a non-Rule 10b5-1 trading arrangement (as defined in Item 408(c) of Regulation S-K) during the fiscal quarter ended December 31, 2024.</w:t>
      </w:r>
    </w:p>
    <w:p>
      <w:pPr>
        <w:spacing w:after="0" w:line="8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9C.</w:t>
      </w:r>
      <w:r>
        <w:rPr>
          <w:sz w:val="20"/>
          <w:szCs w:val="20"/>
          <w:color w:val="auto"/>
        </w:rPr>
        <w:tab/>
      </w:r>
      <w:r>
        <w:rPr>
          <w:rFonts w:ascii="Times New Roman" w:cs="Times New Roman" w:eastAsia="Times New Roman" w:hAnsi="Times New Roman"/>
          <w:sz w:val="14"/>
          <w:szCs w:val="14"/>
          <w:b w:val="1"/>
          <w:bCs w:val="1"/>
          <w:u w:val="single" w:color="auto"/>
          <w:color w:val="auto"/>
        </w:rPr>
        <w:t>DISCLOSURE REGARDING FOREIGN JURISDICTIONS THAT PREVENT INSPECTIONS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14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10.</w:t>
      </w:r>
      <w:r>
        <w:rPr>
          <w:sz w:val="20"/>
          <w:szCs w:val="20"/>
          <w:color w:val="auto"/>
        </w:rPr>
        <w:tab/>
      </w:r>
      <w:r>
        <w:rPr>
          <w:rFonts w:ascii="Times New Roman" w:cs="Times New Roman" w:eastAsia="Times New Roman" w:hAnsi="Times New Roman"/>
          <w:sz w:val="14"/>
          <w:szCs w:val="14"/>
          <w:b w:val="1"/>
          <w:bCs w:val="1"/>
          <w:u w:val="single" w:color="auto"/>
          <w:color w:val="auto"/>
        </w:rPr>
        <w:t>DIRECTORS, EXECUTIVE OFFICERS, AND CORPORATE GOVERNANCE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 code of ethics applicable to our Chief Executive Officer, Chief Financial Officer, Principal Accounting Officer or Controller, and financial managers. The text of this code has been posted on our website. To view the code, go to our website at ir.vishay.com and click on Corporate Governance. You can obtain a printed copy of this code, free of charge, by contacting us at the following address: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Corporate Investor Relations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63 Lancaster Avenue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Malvern, PA 19355-2143</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It is our intention to satisfy the disclosure requirement under Item 5.05 of Form 8-K regarding any amendment to, or any waiver from, a provision of this code by posting such information on our website, at the aforementioned address and location.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Board of Directors has adopted insider trading policies and procedures governing the purchase, sale and/or other dispositions of our directors, officers, and employees, or the Company itself, that are reasonably designed to promote compliance with insider trading laws, rules and regulations, and any listing standards applicable to us (the "Securities Trading Compliance Program"). Our Securities Trading Compliance Program is filed as Exhibit 19.1 to this Annual Report on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information required under this Item with respect to our Executive Officers is set forth in Part I hereof under the caption “Executive Officers of the Registrant.”</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Other information required under this Item will be contained in our definitive proxy statement, which will be filed within 120 days of December 31, 2024,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11.</w:t>
      </w:r>
      <w:r>
        <w:rPr>
          <w:sz w:val="20"/>
          <w:szCs w:val="20"/>
          <w:color w:val="auto"/>
        </w:rPr>
        <w:tab/>
      </w:r>
      <w:r>
        <w:rPr>
          <w:rFonts w:ascii="Times New Roman" w:cs="Times New Roman" w:eastAsia="Times New Roman" w:hAnsi="Times New Roman"/>
          <w:sz w:val="14"/>
          <w:szCs w:val="14"/>
          <w:b w:val="1"/>
          <w:bCs w:val="1"/>
          <w:u w:val="single" w:color="auto"/>
          <w:color w:val="auto"/>
        </w:rPr>
        <w:t>EXECUTIVE COMPENSATION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2024,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12.</w:t>
      </w:r>
      <w:r>
        <w:rPr>
          <w:sz w:val="20"/>
          <w:szCs w:val="20"/>
          <w:color w:val="auto"/>
        </w:rPr>
        <w:tab/>
      </w:r>
      <w:r>
        <w:rPr>
          <w:rFonts w:ascii="Times New Roman" w:cs="Times New Roman" w:eastAsia="Times New Roman" w:hAnsi="Times New Roman"/>
          <w:sz w:val="14"/>
          <w:szCs w:val="14"/>
          <w:b w:val="1"/>
          <w:bCs w:val="1"/>
          <w:u w:val="single" w:color="auto"/>
          <w:color w:val="auto"/>
        </w:rPr>
        <w:t>SECURITY OWNERSHIP OF CERTAIN BENEFICIAL OWNERS AND MANAGEMENT AND RELATED STOCKHOLDER MATTERS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2024,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13.</w:t>
      </w:r>
      <w:r>
        <w:rPr>
          <w:sz w:val="20"/>
          <w:szCs w:val="20"/>
          <w:color w:val="auto"/>
        </w:rPr>
        <w:tab/>
      </w:r>
      <w:r>
        <w:rPr>
          <w:rFonts w:ascii="Times New Roman" w:cs="Times New Roman" w:eastAsia="Times New Roman" w:hAnsi="Times New Roman"/>
          <w:sz w:val="14"/>
          <w:szCs w:val="14"/>
          <w:b w:val="1"/>
          <w:bCs w:val="1"/>
          <w:u w:val="single" w:color="auto"/>
          <w:color w:val="auto"/>
        </w:rPr>
        <w:t>CERTAIN RELATIONSHIPS AND RELATED TRANSACTIONS, AND DIRECTOR INDEPENDENCE</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2024,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14.</w:t>
      </w:r>
      <w:r>
        <w:rPr>
          <w:sz w:val="20"/>
          <w:szCs w:val="20"/>
          <w:color w:val="auto"/>
        </w:rPr>
        <w:tab/>
      </w:r>
      <w:r>
        <w:rPr>
          <w:rFonts w:ascii="Times New Roman" w:cs="Times New Roman" w:eastAsia="Times New Roman" w:hAnsi="Times New Roman"/>
          <w:sz w:val="14"/>
          <w:szCs w:val="14"/>
          <w:b w:val="1"/>
          <w:bCs w:val="1"/>
          <w:u w:val="single" w:color="auto"/>
          <w:color w:val="auto"/>
        </w:rPr>
        <w:t>PRINCIPAL ACCOUNTING FEES AND SERVICES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2024, our most recent fiscal year end, and is incorporated herein by reference.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63" w:name="page64"/>
    <w:bookmarkEnd w:id="63"/>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145" w:lineRule="exact"/>
        <w:rPr>
          <w:sz w:val="20"/>
          <w:szCs w:val="20"/>
          <w:color w:val="auto"/>
        </w:rPr>
      </w:pPr>
    </w:p>
    <w:p>
      <w:pPr>
        <w:ind w:left="28"/>
        <w:spacing w:after="0"/>
        <w:tabs>
          <w:tab w:leader="none" w:pos="1388" w:val="left"/>
        </w:tabs>
        <w:rPr>
          <w:sz w:val="20"/>
          <w:szCs w:val="20"/>
          <w:color w:val="auto"/>
        </w:rPr>
      </w:pPr>
      <w:r>
        <w:rPr>
          <w:rFonts w:ascii="Times New Roman" w:cs="Times New Roman" w:eastAsia="Times New Roman" w:hAnsi="Times New Roman"/>
          <w:sz w:val="14"/>
          <w:szCs w:val="14"/>
          <w:b w:val="1"/>
          <w:bCs w:val="1"/>
          <w:u w:val="single" w:color="auto"/>
          <w:color w:val="auto"/>
        </w:rPr>
        <w:t>Item 15.</w:t>
      </w:r>
      <w:r>
        <w:rPr>
          <w:sz w:val="20"/>
          <w:szCs w:val="20"/>
          <w:color w:val="auto"/>
        </w:rPr>
        <w:tab/>
      </w:r>
      <w:r>
        <w:rPr>
          <w:rFonts w:ascii="Times New Roman" w:cs="Times New Roman" w:eastAsia="Times New Roman" w:hAnsi="Times New Roman"/>
          <w:sz w:val="14"/>
          <w:szCs w:val="14"/>
          <w:b w:val="1"/>
          <w:bCs w:val="1"/>
          <w:u w:val="single" w:color="auto"/>
          <w:color w:val="auto"/>
        </w:rPr>
        <w:t>EXHIBITS, FINANCIAL STATEMENT SCHEDULES</w:t>
      </w:r>
    </w:p>
    <w:p>
      <w:pPr>
        <w:spacing w:after="0" w:line="147" w:lineRule="exact"/>
        <w:rPr>
          <w:sz w:val="20"/>
          <w:szCs w:val="20"/>
          <w:color w:val="auto"/>
        </w:rPr>
      </w:pPr>
    </w:p>
    <w:p>
      <w:pPr>
        <w:ind w:left="228" w:hanging="228"/>
        <w:spacing w:after="0"/>
        <w:tabs>
          <w:tab w:leader="none" w:pos="22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Documents Filed as Part of Form 10-K</w:t>
      </w:r>
    </w:p>
    <w:p>
      <w:pPr>
        <w:spacing w:after="0" w:line="145" w:lineRule="exact"/>
        <w:rPr>
          <w:sz w:val="20"/>
          <w:szCs w:val="20"/>
          <w:color w:val="auto"/>
        </w:rPr>
      </w:pPr>
    </w:p>
    <w:p>
      <w:pPr>
        <w:ind w:left="428" w:hanging="428"/>
        <w:spacing w:after="0"/>
        <w:tabs>
          <w:tab w:leader="none" w:pos="42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w:t>
      </w:r>
    </w:p>
    <w:p>
      <w:pPr>
        <w:spacing w:after="0" w:line="145"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Financial Statements for the year ended December 31, 2024 are filed herewith. See Index to the Consolidated Financial Statements on page F-1 of this report.</w:t>
      </w:r>
    </w:p>
    <w:p>
      <w:pPr>
        <w:spacing w:after="0" w:line="145"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 Schedules</w:t>
      </w:r>
    </w:p>
    <w:p>
      <w:pPr>
        <w:spacing w:after="0" w:line="145" w:lineRule="exact"/>
        <w:rPr>
          <w:rFonts w:ascii="Times New Roman" w:cs="Times New Roman" w:eastAsia="Times New Roman" w:hAnsi="Times New Roman"/>
          <w:sz w:val="14"/>
          <w:szCs w:val="14"/>
          <w:color w:val="auto"/>
        </w:rPr>
      </w:pPr>
    </w:p>
    <w:p>
      <w:pPr>
        <w:ind w:left="428" w:right="2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financial statement schedules have been omitted because they are not applicable, not material, or the required information is shown in the consolidated financial statements or the notes thereto.</w:t>
      </w:r>
    </w:p>
    <w:p>
      <w:pPr>
        <w:spacing w:after="0" w:line="82"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tbl>
      <w:tblPr>
        <w:tblLayout w:type="fixed"/>
        <w:tblInd w:w="8" w:type="dxa"/>
        <w:tblCellMar>
          <w:top w:w="0" w:type="dxa"/>
          <w:left w:w="0" w:type="dxa"/>
          <w:bottom w:w="0" w:type="dxa"/>
          <w:right w:w="0" w:type="dxa"/>
        </w:tblCellMar>
      </w:tblPr>
      <w:tr>
        <w:trPr>
          <w:trHeight w:val="162"/>
        </w:trPr>
        <w:tc>
          <w:tcPr>
            <w:tcW w:w="420" w:type="dxa"/>
            <w:vAlign w:val="bottom"/>
            <w:shd w:val="clear" w:color="auto" w:fill="CCEEFF"/>
          </w:tcPr>
          <w:p>
            <w:pPr>
              <w:spacing w:after="0"/>
              <w:rPr>
                <w:sz w:val="14"/>
                <w:szCs w:val="14"/>
                <w:color w:val="auto"/>
              </w:rPr>
            </w:pPr>
          </w:p>
        </w:tc>
        <w:tc>
          <w:tcPr>
            <w:tcW w:w="480" w:type="dxa"/>
            <w:vAlign w:val="bottom"/>
            <w:tcBorders>
              <w:top w:val="single" w:sz="8" w:color="auto"/>
            </w:tcBorders>
            <w:gridSpan w:val="2"/>
            <w:shd w:val="clear" w:color="auto" w:fill="CCEEFF"/>
          </w:tcPr>
          <w:p>
            <w:pPr>
              <w:ind w:left="300"/>
              <w:spacing w:after="0" w:line="142" w:lineRule="exact"/>
              <w:rPr>
                <w:rFonts w:ascii="Times New Roman" w:cs="Times New Roman" w:eastAsia="Times New Roman" w:hAnsi="Times New Roman"/>
                <w:sz w:val="14"/>
                <w:szCs w:val="14"/>
                <w:color w:val="0000EE"/>
                <w:w w:val="91"/>
              </w:rPr>
            </w:pPr>
            <w:hyperlink r:id="rId70">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1</w:t>
              </w:r>
            </w:hyperlink>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620" w:type="dxa"/>
            <w:vAlign w:val="bottom"/>
            <w:gridSpan w:val="32"/>
            <w:shd w:val="clear" w:color="auto" w:fill="CCEEFF"/>
          </w:tcPr>
          <w:p>
            <w:pPr>
              <w:spacing w:after="0" w:line="142"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Corrected Amended and Restated Certificate of Incorporation of Vishay Intertechnology, Inc. dated June 5, 2012. Incorporated by reference to Exhibit 3.1 to our</w:t>
              </w:r>
            </w:hyperlink>
          </w:p>
        </w:tc>
      </w:tr>
      <w:tr>
        <w:trPr>
          <w:trHeight w:val="122"/>
        </w:trPr>
        <w:tc>
          <w:tcPr>
            <w:tcW w:w="4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9480" w:type="dxa"/>
            <w:vAlign w:val="bottom"/>
            <w:tcBorders>
              <w:top w:val="single" w:sz="8" w:color="0000EE"/>
            </w:tcBorders>
            <w:gridSpan w:val="25"/>
            <w:shd w:val="clear" w:color="auto" w:fill="CCEEFF"/>
          </w:tcPr>
          <w:p>
            <w:pPr>
              <w:spacing w:after="0" w:line="122"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current report on Form 8-K filed June 5, 2012.</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20" w:type="dxa"/>
            <w:vAlign w:val="bottom"/>
            <w:gridSpan w:val="2"/>
          </w:tcPr>
          <w:p>
            <w:pPr>
              <w:spacing w:after="0"/>
              <w:rPr>
                <w:sz w:val="11"/>
                <w:szCs w:val="11"/>
                <w:color w:val="auto"/>
              </w:rPr>
            </w:pPr>
          </w:p>
        </w:tc>
        <w:tc>
          <w:tcPr>
            <w:tcW w:w="180" w:type="dxa"/>
            <w:vAlign w:val="bottom"/>
          </w:tcPr>
          <w:p>
            <w:pPr>
              <w:spacing w:after="0" w:line="135" w:lineRule="exact"/>
              <w:rPr>
                <w:rFonts w:ascii="Times New Roman" w:cs="Times New Roman" w:eastAsia="Times New Roman" w:hAnsi="Times New Roman"/>
                <w:sz w:val="14"/>
                <w:szCs w:val="14"/>
                <w:color w:val="0000EE"/>
                <w:w w:val="91"/>
              </w:rPr>
            </w:pPr>
            <w:hyperlink r:id="rId71">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2</w:t>
              </w:r>
            </w:hyperlink>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20" w:type="dxa"/>
            <w:vAlign w:val="bottom"/>
            <w:gridSpan w:val="32"/>
          </w:tcPr>
          <w:p>
            <w:pPr>
              <w:spacing w:after="0" w:line="135"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Amended and Restated Bylaws dated June 1, 2011. Incorporated by reference to Exhibit 3.2 to our current report on Form 8-K filed June 2, 2011.</w:t>
              </w:r>
            </w:hyperlink>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720" w:type="dxa"/>
            <w:vAlign w:val="bottom"/>
            <w:gridSpan w:val="2"/>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rFonts w:ascii="Times New Roman" w:cs="Times New Roman" w:eastAsia="Times New Roman" w:hAnsi="Times New Roman"/>
                <w:sz w:val="14"/>
                <w:szCs w:val="14"/>
                <w:color w:val="0000EE"/>
                <w:w w:val="91"/>
              </w:rPr>
            </w:pPr>
            <w:hyperlink r:id="rId72">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3</w:t>
              </w:r>
            </w:hyperlink>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620" w:type="dxa"/>
            <w:vAlign w:val="bottom"/>
            <w:gridSpan w:val="32"/>
            <w:shd w:val="clear" w:color="auto" w:fill="CCEEFF"/>
          </w:tcPr>
          <w:p>
            <w:pPr>
              <w:spacing w:after="0" w:line="135"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First Amendment to Amended and Restated Bylaws. Incorporated by reference to Exhibit 3.1 to our Current Report on Form 8-K, filed on August 11, 2015.</w:t>
              </w:r>
            </w:hyperlink>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2"/>
        </w:trPr>
        <w:tc>
          <w:tcPr>
            <w:tcW w:w="720" w:type="dxa"/>
            <w:vAlign w:val="bottom"/>
            <w:gridSpan w:val="2"/>
          </w:tcPr>
          <w:p>
            <w:pPr>
              <w:spacing w:after="0"/>
              <w:rPr>
                <w:sz w:val="12"/>
                <w:szCs w:val="12"/>
                <w:color w:val="auto"/>
              </w:rPr>
            </w:pPr>
          </w:p>
        </w:tc>
        <w:tc>
          <w:tcPr>
            <w:tcW w:w="180" w:type="dxa"/>
            <w:vAlign w:val="bottom"/>
            <w:tcBorders>
              <w:bottom w:val="single" w:sz="8" w:color="0000EE"/>
            </w:tcBorders>
          </w:tcPr>
          <w:p>
            <w:pPr>
              <w:spacing w:after="0" w:line="135" w:lineRule="exact"/>
              <w:rPr>
                <w:rFonts w:ascii="Times New Roman" w:cs="Times New Roman" w:eastAsia="Times New Roman" w:hAnsi="Times New Roman"/>
                <w:sz w:val="14"/>
                <w:szCs w:val="14"/>
                <w:color w:val="0000EE"/>
                <w:w w:val="91"/>
              </w:rPr>
            </w:pPr>
            <w:hyperlink r:id="rId73">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4</w:t>
              </w:r>
            </w:hyperlink>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300" w:type="dxa"/>
            <w:vAlign w:val="bottom"/>
            <w:tcBorders>
              <w:bottom w:val="single" w:sz="8" w:color="0000EE"/>
            </w:tcBorders>
            <w:gridSpan w:val="17"/>
          </w:tcPr>
          <w:p>
            <w:pPr>
              <w:spacing w:after="0" w:line="135"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Second Amendment to Amended and Restated Bylaws. Incorporated by reference to Exhibit 3.1 to our Current Report on Form 8-K, filed on February 21, 2023.</w:t>
              </w:r>
            </w:hyperlink>
          </w:p>
        </w:tc>
        <w:tc>
          <w:tcPr>
            <w:tcW w:w="320" w:type="dxa"/>
            <w:vAlign w:val="bottom"/>
            <w:gridSpan w:val="15"/>
          </w:tcPr>
          <w:p>
            <w:pPr>
              <w:spacing w:after="0"/>
              <w:rPr>
                <w:sz w:val="12"/>
                <w:szCs w:val="12"/>
                <w:color w:val="auto"/>
              </w:rPr>
            </w:pPr>
          </w:p>
        </w:tc>
      </w:tr>
      <w:tr>
        <w:trPr>
          <w:trHeight w:val="155"/>
        </w:trPr>
        <w:tc>
          <w:tcPr>
            <w:tcW w:w="900" w:type="dxa"/>
            <w:vAlign w:val="bottom"/>
            <w:gridSpan w:val="3"/>
            <w:shd w:val="clear" w:color="auto" w:fill="CCEEFF"/>
          </w:tcPr>
          <w:p>
            <w:pPr>
              <w:ind w:left="720"/>
              <w:spacing w:after="0" w:line="135" w:lineRule="exact"/>
              <w:rPr>
                <w:rFonts w:ascii="Times New Roman" w:cs="Times New Roman" w:eastAsia="Times New Roman" w:hAnsi="Times New Roman"/>
                <w:sz w:val="14"/>
                <w:szCs w:val="14"/>
                <w:color w:val="0000EE"/>
                <w:w w:val="91"/>
              </w:rPr>
            </w:pPr>
            <w:hyperlink r:id="rId74">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1</w:t>
              </w:r>
            </w:hyperlink>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620" w:type="dxa"/>
            <w:vAlign w:val="bottom"/>
            <w:gridSpan w:val="32"/>
            <w:shd w:val="clear" w:color="auto" w:fill="CCEEFF"/>
          </w:tcPr>
          <w:p>
            <w:pPr>
              <w:spacing w:after="0" w:line="135"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Indenture, dated as of June 12, 2018, by and between Vishay Intertechnology, Inc. and HSBC Bank USA, N.A., as Trustee. Incorporated by reference to Exhibit</w:t>
              </w:r>
            </w:hyperlink>
          </w:p>
        </w:tc>
      </w:tr>
      <w:tr>
        <w:trPr>
          <w:trHeight w:val="122"/>
        </w:trPr>
        <w:tc>
          <w:tcPr>
            <w:tcW w:w="4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9580" w:type="dxa"/>
            <w:vAlign w:val="bottom"/>
            <w:tcBorders>
              <w:top w:val="single" w:sz="8" w:color="0000EE"/>
            </w:tcBorders>
            <w:gridSpan w:val="30"/>
            <w:shd w:val="clear" w:color="auto" w:fill="CCEEFF"/>
          </w:tcPr>
          <w:p>
            <w:pPr>
              <w:spacing w:after="0" w:line="122"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our current report on Form 8-K filed June 13, 2018.</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75">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2</w:t>
              </w:r>
            </w:hyperlink>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20" w:type="dxa"/>
            <w:vAlign w:val="bottom"/>
            <w:gridSpan w:val="32"/>
          </w:tcPr>
          <w:p>
            <w:pPr>
              <w:spacing w:after="0" w:line="135"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Form of Global Note, representing Vishay Intertechnology, Inc.'s  2.25% Senior Convertible Notes due 2025 (included as Exhibit A to the Indenture filed as</w:t>
              </w:r>
            </w:hyperlink>
          </w:p>
        </w:tc>
      </w:tr>
      <w:tr>
        <w:trPr>
          <w:trHeight w:val="149"/>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60" w:type="dxa"/>
            <w:vAlign w:val="bottom"/>
            <w:tcBorders>
              <w:top w:val="single" w:sz="8" w:color="0000EE"/>
              <w:bottom w:val="single" w:sz="8" w:color="0000EE"/>
            </w:tcBorders>
            <w:gridSpan w:val="9"/>
          </w:tcPr>
          <w:p>
            <w:pPr>
              <w:spacing w:after="0" w:line="142"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Exhibit 4.5). Incorporated by reference to Exhibit 4.2 to our current report on Form 8-K, filed on June 13, 2018.</w:t>
              </w:r>
            </w:hyperlink>
          </w:p>
        </w:tc>
        <w:tc>
          <w:tcPr>
            <w:tcW w:w="3020" w:type="dxa"/>
            <w:vAlign w:val="bottom"/>
            <w:tcBorders>
              <w:top w:val="single" w:sz="8" w:color="0000EE"/>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20" w:type="dxa"/>
            <w:vAlign w:val="bottom"/>
            <w:tcBorders>
              <w:bottom w:val="single" w:sz="8" w:color="CCEEFF"/>
            </w:tcBorders>
            <w:gridSpan w:val="2"/>
            <w:shd w:val="clear" w:color="auto" w:fill="CCEEFF"/>
          </w:tcPr>
          <w:p>
            <w:pPr>
              <w:spacing w:after="0"/>
              <w:rPr>
                <w:sz w:val="12"/>
                <w:szCs w:val="12"/>
                <w:color w:val="auto"/>
              </w:rPr>
            </w:pPr>
          </w:p>
        </w:tc>
        <w:tc>
          <w:tcPr>
            <w:tcW w:w="180" w:type="dxa"/>
            <w:vAlign w:val="bottom"/>
            <w:tcBorders>
              <w:bottom w:val="single" w:sz="8" w:color="0000EE"/>
            </w:tcBorders>
            <w:shd w:val="clear" w:color="auto" w:fill="CCEEFF"/>
          </w:tcPr>
          <w:p>
            <w:pPr>
              <w:spacing w:after="0" w:line="135" w:lineRule="exact"/>
              <w:rPr>
                <w:rFonts w:ascii="Times New Roman" w:cs="Times New Roman" w:eastAsia="Times New Roman" w:hAnsi="Times New Roman"/>
                <w:sz w:val="14"/>
                <w:szCs w:val="14"/>
                <w:color w:val="0000EE"/>
                <w:w w:val="91"/>
              </w:rPr>
            </w:pPr>
            <w:hyperlink r:id="rId76">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3</w:t>
              </w:r>
            </w:hyperlink>
          </w:p>
        </w:tc>
        <w:tc>
          <w:tcPr>
            <w:tcW w:w="1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8840" w:type="dxa"/>
            <w:vAlign w:val="bottom"/>
            <w:tcBorders>
              <w:bottom w:val="single" w:sz="8" w:color="0000EE"/>
            </w:tcBorders>
            <w:gridSpan w:val="15"/>
            <w:shd w:val="clear" w:color="auto" w:fill="CCEEFF"/>
          </w:tcPr>
          <w:p>
            <w:pPr>
              <w:spacing w:after="0" w:line="135"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Description of Capital Stock. Incorporated by reference to Exhibit 4.1 to our quarterly report on Form 10-Q for the fiscal quarter ended October 1, 2022.</w:t>
              </w:r>
            </w:hyperlink>
          </w:p>
        </w:tc>
        <w:tc>
          <w:tcPr>
            <w:tcW w:w="780" w:type="dxa"/>
            <w:vAlign w:val="bottom"/>
            <w:tcBorders>
              <w:bottom w:val="single" w:sz="8" w:color="CCEEFF"/>
            </w:tcBorders>
            <w:gridSpan w:val="17"/>
            <w:shd w:val="clear" w:color="auto" w:fill="CCEEFF"/>
          </w:tcPr>
          <w:p>
            <w:pPr>
              <w:spacing w:after="0"/>
              <w:rPr>
                <w:sz w:val="12"/>
                <w:szCs w:val="12"/>
                <w:color w:val="auto"/>
              </w:rPr>
            </w:pPr>
          </w:p>
        </w:tc>
      </w:tr>
      <w:tr>
        <w:trPr>
          <w:trHeight w:val="15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77">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4</w:t>
              </w:r>
            </w:hyperlink>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20" w:type="dxa"/>
            <w:vAlign w:val="bottom"/>
            <w:gridSpan w:val="32"/>
          </w:tcPr>
          <w:p>
            <w:pPr>
              <w:spacing w:after="0" w:line="135"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First Supplemental Indenture, dated as of December 23, 2020, by and between Vishay Intertechnology, Inc. and HSBC Bank USA, N.A., as Trustee.</w:t>
              </w:r>
            </w:hyperlink>
          </w:p>
        </w:tc>
      </w:tr>
      <w:tr>
        <w:trPr>
          <w:trHeight w:val="129"/>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0" w:type="dxa"/>
            <w:vAlign w:val="bottom"/>
            <w:tcBorders>
              <w:top w:val="single" w:sz="8" w:color="0000EE"/>
              <w:bottom w:val="single" w:sz="8" w:color="0000EE"/>
            </w:tcBorders>
            <w:gridSpan w:val="8"/>
          </w:tcPr>
          <w:p>
            <w:pPr>
              <w:spacing w:after="0" w:line="122"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Incorporated by reference to Exhibit 4.1 to our current report on Form 8-K filed January 5, 2021.</w:t>
              </w:r>
            </w:hyperlink>
          </w:p>
        </w:tc>
        <w:tc>
          <w:tcPr>
            <w:tcW w:w="3940" w:type="dxa"/>
            <w:vAlign w:val="bottom"/>
            <w:tcBorders>
              <w:top w:val="single" w:sz="8" w:color="0000EE"/>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900" w:type="dxa"/>
            <w:vAlign w:val="bottom"/>
            <w:gridSpan w:val="3"/>
            <w:shd w:val="clear" w:color="auto" w:fill="CCEEFF"/>
          </w:tcPr>
          <w:p>
            <w:pPr>
              <w:ind w:left="720"/>
              <w:spacing w:after="0" w:line="135" w:lineRule="exact"/>
              <w:rPr>
                <w:rFonts w:ascii="Times New Roman" w:cs="Times New Roman" w:eastAsia="Times New Roman" w:hAnsi="Times New Roman"/>
                <w:sz w:val="14"/>
                <w:szCs w:val="14"/>
                <w:color w:val="0000EE"/>
                <w:w w:val="91"/>
              </w:rPr>
            </w:pPr>
            <w:hyperlink r:id="rId78">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5</w:t>
              </w:r>
            </w:hyperlink>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620" w:type="dxa"/>
            <w:vAlign w:val="bottom"/>
            <w:gridSpan w:val="32"/>
            <w:shd w:val="clear" w:color="auto" w:fill="CCEEFF"/>
          </w:tcPr>
          <w:p>
            <w:pPr>
              <w:spacing w:after="0" w:line="135"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Second Supplemental Indenture, dated as of October 29, 2024, by and between Vishay Intertechnology, Inc. and HSBC Bank USA, N.A., as Trustee. Incorporated</w:t>
              </w:r>
            </w:hyperlink>
          </w:p>
        </w:tc>
      </w:tr>
      <w:tr>
        <w:trPr>
          <w:trHeight w:val="149"/>
        </w:trPr>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0000EE"/>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6540" w:type="dxa"/>
            <w:vAlign w:val="bottom"/>
            <w:tcBorders>
              <w:top w:val="single" w:sz="8" w:color="0000EE"/>
              <w:bottom w:val="single" w:sz="8" w:color="0000EE"/>
            </w:tcBorders>
            <w:gridSpan w:val="10"/>
            <w:shd w:val="clear" w:color="auto" w:fill="CCEEFF"/>
          </w:tcPr>
          <w:p>
            <w:pPr>
              <w:spacing w:after="0" w:line="142"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by reference as Exhibit 4.1 in our quarterly report on Form 10-Q for the fiscal quarter ended September 28, 2024.</w:t>
              </w:r>
            </w:hyperlink>
          </w:p>
        </w:tc>
        <w:tc>
          <w:tcPr>
            <w:tcW w:w="3060" w:type="dxa"/>
            <w:vAlign w:val="bottom"/>
            <w:tcBorders>
              <w:top w:val="single" w:sz="8" w:color="0000EE"/>
              <w:bottom w:val="single" w:sz="8" w:color="CCEEFF"/>
            </w:tcBorders>
            <w:gridSpan w:val="21"/>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79">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6</w:t>
              </w:r>
            </w:hyperlink>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20" w:type="dxa"/>
            <w:vAlign w:val="bottom"/>
            <w:gridSpan w:val="32"/>
          </w:tcPr>
          <w:p>
            <w:pPr>
              <w:spacing w:after="0" w:line="135"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Indenture, dated as of September 12, 2023, by and between Vishay Intertechnology, Inc. and HSBC Bank USA, National Association, as Trustee. Incorporated</w:t>
              </w:r>
            </w:hyperlink>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60" w:type="dxa"/>
            <w:vAlign w:val="bottom"/>
            <w:tcBorders>
              <w:top w:val="single" w:sz="8" w:color="0000EE"/>
            </w:tcBorders>
            <w:gridSpan w:val="24"/>
          </w:tcPr>
          <w:p>
            <w:pPr>
              <w:spacing w:after="0" w:line="142"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by reference to Exhibit 4.1 in our current report on Form 8-K filed September 12, 2023.</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900" w:type="dxa"/>
            <w:vAlign w:val="bottom"/>
            <w:gridSpan w:val="3"/>
            <w:shd w:val="clear" w:color="auto" w:fill="CCEEFF"/>
          </w:tcPr>
          <w:p>
            <w:pPr>
              <w:ind w:left="720"/>
              <w:spacing w:after="0" w:line="135" w:lineRule="exact"/>
              <w:rPr>
                <w:rFonts w:ascii="Times New Roman" w:cs="Times New Roman" w:eastAsia="Times New Roman" w:hAnsi="Times New Roman"/>
                <w:sz w:val="14"/>
                <w:szCs w:val="14"/>
                <w:color w:val="0000EE"/>
                <w:w w:val="91"/>
              </w:rPr>
            </w:pPr>
            <w:hyperlink r:id="rId80">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7</w:t>
              </w:r>
            </w:hyperlink>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620" w:type="dxa"/>
            <w:vAlign w:val="bottom"/>
            <w:gridSpan w:val="32"/>
            <w:shd w:val="clear" w:color="auto" w:fill="CCEEFF"/>
          </w:tcPr>
          <w:p>
            <w:pPr>
              <w:spacing w:after="0" w:line="135"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First Supplemental Indenture, dated as of October 29, 2024, by and between Vishay Intertechnology, Inc. and HSBC Bank USA, N.A., as Trustee. Incorporated</w:t>
              </w:r>
            </w:hyperlink>
          </w:p>
        </w:tc>
      </w:tr>
      <w:tr>
        <w:trPr>
          <w:trHeight w:val="129"/>
        </w:trPr>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0000EE"/>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CCEEFF"/>
              <w:bottom w:val="single" w:sz="8" w:color="CCEEFF"/>
            </w:tcBorders>
            <w:shd w:val="clear" w:color="auto" w:fill="CCEEFF"/>
          </w:tcPr>
          <w:p>
            <w:pPr>
              <w:spacing w:after="0"/>
              <w:rPr>
                <w:sz w:val="11"/>
                <w:szCs w:val="11"/>
                <w:color w:val="auto"/>
              </w:rPr>
            </w:pPr>
          </w:p>
        </w:tc>
        <w:tc>
          <w:tcPr>
            <w:tcW w:w="6540" w:type="dxa"/>
            <w:vAlign w:val="bottom"/>
            <w:tcBorders>
              <w:top w:val="single" w:sz="8" w:color="0000EE"/>
              <w:bottom w:val="single" w:sz="8" w:color="0000EE"/>
            </w:tcBorders>
            <w:gridSpan w:val="10"/>
            <w:shd w:val="clear" w:color="auto" w:fill="CCEEFF"/>
          </w:tcPr>
          <w:p>
            <w:pPr>
              <w:spacing w:after="0" w:line="122"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by reference as Exhibit 4.2 in our quarterly report on Form 10-Q for the fiscal quarter ended September 28, 2024.</w:t>
              </w:r>
            </w:hyperlink>
          </w:p>
        </w:tc>
        <w:tc>
          <w:tcPr>
            <w:tcW w:w="2900" w:type="dxa"/>
            <w:vAlign w:val="bottom"/>
            <w:tcBorders>
              <w:top w:val="single" w:sz="8" w:color="0000EE"/>
              <w:bottom w:val="single" w:sz="8" w:color="CCEEFF"/>
            </w:tcBorders>
            <w:gridSpan w:val="13"/>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r>
      <w:tr>
        <w:trPr>
          <w:trHeight w:val="13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81">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8</w:t>
              </w:r>
            </w:hyperlink>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20" w:type="dxa"/>
            <w:vAlign w:val="bottom"/>
            <w:gridSpan w:val="32"/>
          </w:tcPr>
          <w:p>
            <w:pPr>
              <w:spacing w:after="0" w:line="135"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Form of Global Note, representing Vishay Intertechnology, Inc.'s 2.25% Senior Convertible Notes due 2030 (included as Exhibit A to the Indenture filed as</w:t>
              </w:r>
            </w:hyperlink>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80" w:type="dxa"/>
            <w:vAlign w:val="bottom"/>
            <w:tcBorders>
              <w:top w:val="single" w:sz="8" w:color="0000EE"/>
            </w:tcBorders>
            <w:gridSpan w:val="25"/>
          </w:tcPr>
          <w:p>
            <w:pPr>
              <w:spacing w:after="0" w:line="142"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Exhibit 4.1). Incorporated by reference to Exhibit 4.2 in our current report on Form 8-K filed September 12,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hyperlink>
          </w:p>
        </w:tc>
        <w:tc>
          <w:tcPr>
            <w:tcW w:w="9620" w:type="dxa"/>
            <w:vAlign w:val="bottom"/>
            <w:gridSpan w:val="32"/>
            <w:shd w:val="clear" w:color="auto" w:fill="CCEEFF"/>
          </w:tcPr>
          <w:p>
            <w:pPr>
              <w:spacing w:after="0" w:line="135"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Amended and restated Vishay Intertechnology 162(m) Cash Bonus Plan. Incorporated by reference to Annex A to our Proxy Statement, dated March 31, 2017,</w:t>
              </w:r>
            </w:hyperlink>
          </w:p>
        </w:tc>
      </w:tr>
      <w:tr>
        <w:trPr>
          <w:trHeight w:val="122"/>
        </w:trPr>
        <w:tc>
          <w:tcPr>
            <w:tcW w:w="4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9520" w:type="dxa"/>
            <w:vAlign w:val="bottom"/>
            <w:tcBorders>
              <w:top w:val="single" w:sz="8" w:color="0000EE"/>
            </w:tcBorders>
            <w:gridSpan w:val="27"/>
            <w:shd w:val="clear" w:color="auto" w:fill="CCEEFF"/>
          </w:tcPr>
          <w:p>
            <w:pPr>
              <w:spacing w:after="0" w:line="122"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for our 2017 Annual Meeting of Stockholders.</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3"/>
          </w:tcPr>
          <w:p>
            <w:pPr>
              <w:spacing w:after="0" w:line="135"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w:t>
              </w:r>
            </w:hyperlink>
          </w:p>
        </w:tc>
        <w:tc>
          <w:tcPr>
            <w:tcW w:w="9620" w:type="dxa"/>
            <w:vAlign w:val="bottom"/>
            <w:gridSpan w:val="32"/>
          </w:tcPr>
          <w:p>
            <w:pPr>
              <w:spacing w:after="0" w:line="135"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Amended and Restated Vishay Intertechnology, Inc. 2007 Stock Incentive Program. Incorporated by reference to Annex A to our definitive proxy statement,</w:t>
              </w:r>
            </w:hyperlink>
          </w:p>
        </w:tc>
      </w:tr>
      <w:tr>
        <w:trPr>
          <w:trHeight w:val="149"/>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900" w:type="dxa"/>
            <w:vAlign w:val="bottom"/>
          </w:tcPr>
          <w:p>
            <w:pPr>
              <w:spacing w:after="0"/>
              <w:rPr>
                <w:sz w:val="12"/>
                <w:szCs w:val="12"/>
                <w:color w:val="auto"/>
              </w:rPr>
            </w:pPr>
          </w:p>
        </w:tc>
        <w:tc>
          <w:tcPr>
            <w:tcW w:w="3880" w:type="dxa"/>
            <w:vAlign w:val="bottom"/>
            <w:tcBorders>
              <w:top w:val="single" w:sz="8" w:color="0000EE"/>
              <w:bottom w:val="single" w:sz="8" w:color="0000EE"/>
            </w:tcBorders>
            <w:gridSpan w:val="4"/>
          </w:tcPr>
          <w:p>
            <w:pPr>
              <w:spacing w:after="0" w:line="142"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dated April 4, 2014, for our 2014 Annual Meeting of Stockholders.</w:t>
              </w:r>
            </w:hyperlink>
          </w:p>
        </w:tc>
        <w:tc>
          <w:tcPr>
            <w:tcW w:w="5500" w:type="dxa"/>
            <w:vAlign w:val="bottom"/>
            <w:tcBorders>
              <w:top w:val="single" w:sz="8" w:color="0000EE"/>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35"/>
        </w:trPr>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w:t>
              </w:r>
            </w:hyperlink>
          </w:p>
        </w:tc>
        <w:tc>
          <w:tcPr>
            <w:tcW w:w="9620" w:type="dxa"/>
            <w:vAlign w:val="bottom"/>
            <w:gridSpan w:val="32"/>
            <w:shd w:val="clear" w:color="auto" w:fill="CCEEFF"/>
          </w:tcPr>
          <w:p>
            <w:pPr>
              <w:spacing w:after="0" w:line="135"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Amended and Restated Vishay Intertechnology, Inc. 2007 Stock Incentive Program (Including Restated Annex A – Israel). Incorporated by reference to Exhibit</w:t>
              </w:r>
            </w:hyperlink>
          </w:p>
        </w:tc>
      </w:tr>
      <w:tr>
        <w:trPr>
          <w:trHeight w:val="149"/>
        </w:trPr>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0000EE"/>
              <w:bottom w:val="single" w:sz="8" w:color="CCEEFF"/>
            </w:tcBorders>
            <w:shd w:val="clear" w:color="auto" w:fill="CCEEFF"/>
          </w:tcPr>
          <w:p>
            <w:pPr>
              <w:spacing w:after="0"/>
              <w:rPr>
                <w:sz w:val="12"/>
                <w:szCs w:val="12"/>
                <w:color w:val="auto"/>
              </w:rPr>
            </w:pPr>
          </w:p>
        </w:tc>
        <w:tc>
          <w:tcPr>
            <w:tcW w:w="140" w:type="dxa"/>
            <w:vAlign w:val="bottom"/>
            <w:tcBorders>
              <w:top w:val="single" w:sz="8" w:color="0000EE"/>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4580" w:type="dxa"/>
            <w:vAlign w:val="bottom"/>
            <w:tcBorders>
              <w:top w:val="single" w:sz="8" w:color="0000EE"/>
              <w:bottom w:val="single" w:sz="8" w:color="0000EE"/>
            </w:tcBorders>
            <w:gridSpan w:val="5"/>
            <w:shd w:val="clear" w:color="auto" w:fill="CCEEFF"/>
          </w:tcPr>
          <w:p>
            <w:pPr>
              <w:spacing w:after="0" w:line="142"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0000EE"/>
                </w:rPr>
                <w:t xml:space="preserve"> to our annual report on Form 10-K for the year ended December 31, 2022.</w:t>
              </w:r>
            </w:hyperlink>
          </w:p>
        </w:tc>
        <w:tc>
          <w:tcPr>
            <w:tcW w:w="4780" w:type="dxa"/>
            <w:vAlign w:val="bottom"/>
            <w:tcBorders>
              <w:top w:val="single" w:sz="8" w:color="0000EE"/>
              <w:bottom w:val="single" w:sz="8" w:color="CCEEFF"/>
            </w:tcBorders>
            <w:gridSpan w:val="1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35"/>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3"/>
          </w:tcPr>
          <w:p>
            <w:pPr>
              <w:spacing w:after="0" w:line="135"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w:t>
              </w:r>
            </w:hyperlink>
          </w:p>
        </w:tc>
        <w:tc>
          <w:tcPr>
            <w:tcW w:w="9620" w:type="dxa"/>
            <w:vAlign w:val="bottom"/>
            <w:gridSpan w:val="32"/>
          </w:tcPr>
          <w:p>
            <w:pPr>
              <w:spacing w:after="0" w:line="135"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Vishay Intertechnology, Inc. 2023 Long-Term Incentive Plan. Incorporated by reference to Annex A to our definitive proxy statement, dated April 4, 2023, for</w:t>
              </w:r>
            </w:hyperlink>
          </w:p>
        </w:tc>
      </w:tr>
      <w:tr>
        <w:trPr>
          <w:trHeight w:val="149"/>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900" w:type="dxa"/>
            <w:vAlign w:val="bottom"/>
          </w:tcPr>
          <w:p>
            <w:pPr>
              <w:spacing w:after="0"/>
              <w:rPr>
                <w:sz w:val="12"/>
                <w:szCs w:val="12"/>
                <w:color w:val="auto"/>
              </w:rPr>
            </w:pPr>
          </w:p>
        </w:tc>
        <w:tc>
          <w:tcPr>
            <w:tcW w:w="2480" w:type="dxa"/>
            <w:vAlign w:val="bottom"/>
            <w:tcBorders>
              <w:top w:val="single" w:sz="8" w:color="0000EE"/>
              <w:bottom w:val="single" w:sz="8" w:color="0000EE"/>
            </w:tcBorders>
          </w:tcPr>
          <w:p>
            <w:pPr>
              <w:spacing w:after="0" w:line="142"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our 2023 Annual Meeting of Stockholders.</w:t>
              </w:r>
            </w:hyperlink>
          </w:p>
        </w:tc>
        <w:tc>
          <w:tcPr>
            <w:tcW w:w="7020" w:type="dxa"/>
            <w:vAlign w:val="bottom"/>
            <w:tcBorders>
              <w:top w:val="single" w:sz="8" w:color="0000EE"/>
            </w:tcBorders>
            <w:gridSpan w:val="25"/>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35"/>
        </w:trPr>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w:t>
              </w:r>
            </w:hyperlink>
          </w:p>
        </w:tc>
        <w:tc>
          <w:tcPr>
            <w:tcW w:w="9620" w:type="dxa"/>
            <w:vAlign w:val="bottom"/>
            <w:gridSpan w:val="32"/>
            <w:shd w:val="clear" w:color="auto" w:fill="CCEEFF"/>
          </w:tcPr>
          <w:p>
            <w:pPr>
              <w:spacing w:after="0" w:line="135"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Employment agreement, dated January 1, 2004, between Vishay Europe GmbH (an indirect wholly owned subsidiary of Vishay Intertechnology, Inc.) and Dr.</w:t>
              </w:r>
            </w:hyperlink>
          </w:p>
        </w:tc>
      </w:tr>
      <w:tr>
        <w:trPr>
          <w:trHeight w:val="142"/>
        </w:trPr>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0000EE"/>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9340" w:type="dxa"/>
            <w:vAlign w:val="bottom"/>
            <w:tcBorders>
              <w:top w:val="single" w:sz="8" w:color="0000EE"/>
            </w:tcBorders>
            <w:gridSpan w:val="18"/>
            <w:shd w:val="clear" w:color="auto" w:fill="CCEEFF"/>
          </w:tcPr>
          <w:p>
            <w:pPr>
              <w:spacing w:after="0" w:line="142"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Gerald Paul. Incorporated by reference to Exhibit 10.3 to our quarterly report on Form 10-Q for the fiscal quarter ended October 2, 2004.</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3"/>
          </w:tcPr>
          <w:p>
            <w:pPr>
              <w:spacing w:after="0" w:line="135"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w:t>
              </w:r>
            </w:hyperlink>
          </w:p>
        </w:tc>
        <w:tc>
          <w:tcPr>
            <w:tcW w:w="9620" w:type="dxa"/>
            <w:vAlign w:val="bottom"/>
            <w:gridSpan w:val="32"/>
          </w:tcPr>
          <w:p>
            <w:pPr>
              <w:spacing w:after="0" w:line="135"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Amendment to Employment Agreement, dated August 8, 2010, between Vishay Europe GmbH (an indirect wholly owned subsidiary of Vishay Intertechnology,</w:t>
              </w:r>
            </w:hyperlink>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900" w:type="dxa"/>
            <w:vAlign w:val="bottom"/>
          </w:tcPr>
          <w:p>
            <w:pPr>
              <w:spacing w:after="0"/>
              <w:rPr>
                <w:sz w:val="12"/>
                <w:szCs w:val="12"/>
                <w:color w:val="auto"/>
              </w:rPr>
            </w:pPr>
          </w:p>
        </w:tc>
        <w:tc>
          <w:tcPr>
            <w:tcW w:w="9560" w:type="dxa"/>
            <w:vAlign w:val="bottom"/>
            <w:tcBorders>
              <w:top w:val="single" w:sz="8" w:color="0000EE"/>
            </w:tcBorders>
            <w:gridSpan w:val="29"/>
          </w:tcPr>
          <w:p>
            <w:pPr>
              <w:spacing w:after="0" w:line="142"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Inc.) and Dr. Gerald Paul. Incorporated by reference to Exhibit 10.5 to our quarterly report on Form 10-Q for the fiscal quarter ended July 3, 2010.</w:t>
              </w:r>
            </w:hyperlink>
          </w:p>
        </w:tc>
        <w:tc>
          <w:tcPr>
            <w:tcW w:w="60" w:type="dxa"/>
            <w:vAlign w:val="bottom"/>
            <w:gridSpan w:val="3"/>
          </w:tcPr>
          <w:p>
            <w:pPr>
              <w:spacing w:after="0"/>
              <w:rPr>
                <w:sz w:val="12"/>
                <w:szCs w:val="12"/>
                <w:color w:val="auto"/>
              </w:rPr>
            </w:pP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80" w:type="dxa"/>
            <w:vAlign w:val="bottom"/>
            <w:tcBorders>
              <w:left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7†</w:t>
              </w:r>
            </w:hyperlink>
          </w:p>
        </w:tc>
        <w:tc>
          <w:tcPr>
            <w:tcW w:w="9620" w:type="dxa"/>
            <w:vAlign w:val="bottom"/>
            <w:gridSpan w:val="32"/>
            <w:shd w:val="clear" w:color="auto" w:fill="CCEEFF"/>
          </w:tcPr>
          <w:p>
            <w:pPr>
              <w:spacing w:after="0" w:line="135"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Amendment to Employment Agreement, dated August 28, 2011, between Vishay Europe GmbH (an indirect wholly owned subsidiary of Vishay Intertechnology,</w:t>
              </w:r>
            </w:hyperlink>
          </w:p>
        </w:tc>
      </w:tr>
      <w:tr>
        <w:trPr>
          <w:trHeight w:val="142"/>
        </w:trPr>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0000EE"/>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9340" w:type="dxa"/>
            <w:vAlign w:val="bottom"/>
            <w:tcBorders>
              <w:top w:val="single" w:sz="8" w:color="0000EE"/>
            </w:tcBorders>
            <w:gridSpan w:val="18"/>
            <w:shd w:val="clear" w:color="auto" w:fill="CCEEFF"/>
          </w:tcPr>
          <w:p>
            <w:pPr>
              <w:spacing w:after="0" w:line="142"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Inc.) and Dr. Gerald Paul. Incorporated by reference to Exhibit 10.3 to our quarterly report on Form 10-Q for the fiscal quarter ended October 1, 2011.</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10"/>
            <w:shd w:val="clear" w:color="auto" w:fill="CCEEFF"/>
          </w:tcPr>
          <w:p>
            <w:pPr>
              <w:spacing w:after="0"/>
              <w:rPr>
                <w:sz w:val="12"/>
                <w:szCs w:val="12"/>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3"/>
          </w:tcPr>
          <w:p>
            <w:pPr>
              <w:spacing w:after="0" w:line="135"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8†</w:t>
              </w:r>
            </w:hyperlink>
          </w:p>
        </w:tc>
        <w:tc>
          <w:tcPr>
            <w:tcW w:w="9620" w:type="dxa"/>
            <w:vAlign w:val="bottom"/>
            <w:gridSpan w:val="32"/>
          </w:tcPr>
          <w:p>
            <w:pPr>
              <w:spacing w:after="0" w:line="135"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Amendment to Employment Agreement, dated July 1, 2021, between Vishay Europe GmbH (an indirect wholly owned subsidiary of Vishay Intertechnology,</w:t>
              </w:r>
            </w:hyperlink>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900" w:type="dxa"/>
            <w:vAlign w:val="bottom"/>
          </w:tcPr>
          <w:p>
            <w:pPr>
              <w:spacing w:after="0"/>
              <w:rPr>
                <w:sz w:val="12"/>
                <w:szCs w:val="12"/>
                <w:color w:val="auto"/>
              </w:rPr>
            </w:pPr>
          </w:p>
        </w:tc>
        <w:tc>
          <w:tcPr>
            <w:tcW w:w="9400" w:type="dxa"/>
            <w:vAlign w:val="bottom"/>
            <w:tcBorders>
              <w:top w:val="single" w:sz="8" w:color="0000EE"/>
              <w:bottom w:val="single" w:sz="8" w:color="0000EE"/>
            </w:tcBorders>
            <w:gridSpan w:val="21"/>
          </w:tcPr>
          <w:p>
            <w:pPr>
              <w:spacing w:after="0" w:line="142"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Inc.), Vishay Electronic GmbH (an indirect wholly owned subsidiary of Vishay Intertechnology, Inc.), and Dr. Gerald Paul. Incorporated by reference to Exhibit</w:t>
              </w:r>
            </w:hyperlink>
          </w:p>
        </w:tc>
        <w:tc>
          <w:tcPr>
            <w:tcW w:w="20" w:type="dxa"/>
            <w:vAlign w:val="bottom"/>
            <w:tcBorders>
              <w:bottom w:val="single" w:sz="8" w:color="0000EE"/>
            </w:tcBorders>
          </w:tcPr>
          <w:p>
            <w:pPr>
              <w:spacing w:after="0"/>
              <w:rPr>
                <w:sz w:val="12"/>
                <w:szCs w:val="12"/>
                <w:color w:val="auto"/>
              </w:rPr>
            </w:pPr>
          </w:p>
        </w:tc>
        <w:tc>
          <w:tcPr>
            <w:tcW w:w="200" w:type="dxa"/>
            <w:vAlign w:val="bottom"/>
            <w:gridSpan w:val="10"/>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20" w:type="dxa"/>
            <w:vAlign w:val="bottom"/>
            <w:gridSpan w:val="22"/>
          </w:tcPr>
          <w:p>
            <w:pPr>
              <w:spacing w:after="0" w:line="142"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our quarterly report on Form 10-Q for the fiscal quarter ended July 3, 2021.</w:t>
              </w:r>
            </w:hyperlink>
          </w:p>
        </w:tc>
        <w:tc>
          <w:tcPr>
            <w:tcW w:w="200" w:type="dxa"/>
            <w:vAlign w:val="bottom"/>
            <w:gridSpan w:val="10"/>
          </w:tcPr>
          <w:p>
            <w:pPr>
              <w:spacing w:after="0"/>
              <w:rPr>
                <w:sz w:val="12"/>
                <w:szCs w:val="12"/>
                <w:color w:val="auto"/>
              </w:rPr>
            </w:pPr>
          </w:p>
        </w:tc>
      </w:tr>
      <w:tr>
        <w:trPr>
          <w:trHeight w:val="277"/>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80" w:type="dxa"/>
            <w:vAlign w:val="bottom"/>
            <w:tcBorders>
              <w:top w:val="single" w:sz="8" w:color="0000EE"/>
            </w:tcBorders>
            <w:gridSpan w:val="4"/>
          </w:tcPr>
          <w:p>
            <w:pPr>
              <w:ind w:left="3640"/>
              <w:spacing w:after="0"/>
              <w:rPr>
                <w:sz w:val="20"/>
                <w:szCs w:val="20"/>
                <w:color w:val="auto"/>
              </w:rPr>
            </w:pPr>
            <w:r>
              <w:rPr>
                <w:rFonts w:ascii="Times New Roman" w:cs="Times New Roman" w:eastAsia="Times New Roman" w:hAnsi="Times New Roman"/>
                <w:sz w:val="12"/>
                <w:szCs w:val="12"/>
                <w:color w:val="auto"/>
              </w:rPr>
              <w:t>65</w:t>
            </w:r>
          </w:p>
        </w:tc>
        <w:tc>
          <w:tcPr>
            <w:tcW w:w="7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
        </w:trPr>
        <w:tc>
          <w:tcPr>
            <w:tcW w:w="4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308"/>
          </w:cols>
          <w:pgMar w:left="292" w:top="524" w:right="29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spacing w:after="0"/>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9†</w:t>
              </w:r>
            </w:hyperlink>
          </w:p>
        </w:tc>
        <w:tc>
          <w:tcPr>
            <w:tcW w:w="9820" w:type="dxa"/>
            <w:vAlign w:val="bottom"/>
            <w:tcBorders>
              <w:right w:val="single" w:sz="8" w:color="CCEEFF"/>
            </w:tcBorders>
            <w:gridSpan w:val="42"/>
            <w:shd w:val="clear" w:color="auto" w:fill="CCEEFF"/>
          </w:tcPr>
          <w:p>
            <w:pPr>
              <w:spacing w:after="0"/>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Employment Agreement, dated January 1, 2004, between Vishay Israel Ltd. (a wholly owned subsidiary of Vishay Intertechnology, Inc.) and Marc Zandman.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7160" w:type="dxa"/>
            <w:vAlign w:val="bottom"/>
            <w:tcBorders>
              <w:top w:val="single" w:sz="8" w:color="0000EE"/>
              <w:bottom w:val="single" w:sz="8" w:color="0000EE"/>
            </w:tcBorders>
            <w:gridSpan w:val="12"/>
            <w:shd w:val="clear" w:color="auto" w:fill="CCEEFF"/>
          </w:tcPr>
          <w:p>
            <w:pPr>
              <w:spacing w:after="0" w:line="142"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Incorporated by reference to Exhibit 10.2 to our quarterly report on Form 10-Q for the fiscal quarter ended October 2, 2004.</w:t>
              </w:r>
            </w:hyperlink>
          </w:p>
        </w:tc>
        <w:tc>
          <w:tcPr>
            <w:tcW w:w="2540" w:type="dxa"/>
            <w:vAlign w:val="bottom"/>
            <w:tcBorders>
              <w:top w:val="single" w:sz="8" w:color="0000EE"/>
              <w:bottom w:val="single" w:sz="8" w:color="CCEEFF"/>
            </w:tcBorders>
            <w:gridSpan w:val="25"/>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10†</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Amendment to Employment Agreement, dated August 8, 2010, between Vishay Israel Ltd. (a wholly owned subsidiary of Vishay Intertechnology, Inc.) and Marc</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520" w:type="dxa"/>
            <w:vAlign w:val="bottom"/>
            <w:tcBorders>
              <w:top w:val="single" w:sz="8" w:color="0000EE"/>
            </w:tcBorders>
            <w:gridSpan w:val="28"/>
          </w:tcPr>
          <w:p>
            <w:pPr>
              <w:spacing w:after="0" w:line="142"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Zandman. Incorporated by reference to Exhibit 10.6 to our quarterly report on Form 10-Q for the fiscal quarter ended July 3, 2010.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11†</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Amendment to Employment Agreement, dated August 30, 2011, between Vishay Israel Ltd. (a wholly owned subsidiary of Vishay Intertechnology, Inc.) and Marc</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0000EE"/>
            </w:tcBorders>
            <w:gridSpan w:val="36"/>
            <w:shd w:val="clear" w:color="auto" w:fill="CCEEFF"/>
          </w:tcPr>
          <w:p>
            <w:pPr>
              <w:spacing w:after="0" w:line="142"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Zandman. Incorporated by reference to Exhibit 10.2 to our quarterly report on Form 10-Q for the fiscal quarter ended October 1, 2011.</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12†</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Amendment to Employment Agreement, dated February 23, 2021, between Vishay Israel Ltd. (a wholly owned subsidiary of Vishay Intertechnology, Inc.) and</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420" w:type="dxa"/>
            <w:vAlign w:val="bottom"/>
            <w:tcBorders>
              <w:top w:val="single" w:sz="8" w:color="0000EE"/>
            </w:tcBorders>
            <w:gridSpan w:val="23"/>
          </w:tcPr>
          <w:p>
            <w:pPr>
              <w:spacing w:after="0" w:line="142"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Marc Zandman. Incorporated by reference to Exhibit 10.1 to our quarterly report on Form 10-Q for the fiscal quarter ended April 3,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1"/>
                  <w:szCs w:val="11"/>
                  <w:color w:val="0000EE"/>
                </w:rPr>
                <w:t>†</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Amendment to Employment Agreement, dated July 14, 2022, between Vishay Israel Ltd. (a wholly owned subsidiary of Vishay Intertechnology, Inc.) and Marc</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6220" w:type="dxa"/>
            <w:vAlign w:val="bottom"/>
            <w:tcBorders>
              <w:top w:val="single" w:sz="8" w:color="0000EE"/>
              <w:bottom w:val="single" w:sz="8" w:color="0000EE"/>
            </w:tcBorders>
            <w:gridSpan w:val="11"/>
            <w:shd w:val="clear" w:color="auto" w:fill="CCEEFF"/>
          </w:tcPr>
          <w:p>
            <w:pPr>
              <w:spacing w:after="0" w:line="142"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Zandman. Incorporated by reference to Exhibit 10.1 to our current report on Form 8-K, filed July 18, 2022.</w:t>
              </w:r>
            </w:hyperlink>
          </w:p>
        </w:tc>
        <w:tc>
          <w:tcPr>
            <w:tcW w:w="3500" w:type="dxa"/>
            <w:vAlign w:val="bottom"/>
            <w:tcBorders>
              <w:top w:val="single" w:sz="8" w:color="0000EE"/>
              <w:bottom w:val="single" w:sz="8" w:color="CCEEFF"/>
            </w:tcBorders>
            <w:gridSpan w:val="27"/>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14†</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Employment Agreement, dated February 15, 2018, between Vishay Americas, Inc. (a wholly owned subsidiary of Vishay Intertechnology, Inc.), Vishay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760" w:type="dxa"/>
            <w:vAlign w:val="bottom"/>
            <w:tcBorders>
              <w:top w:val="single" w:sz="8" w:color="0000EE"/>
            </w:tcBorders>
            <w:gridSpan w:val="40"/>
          </w:tcPr>
          <w:p>
            <w:pPr>
              <w:spacing w:after="0" w:line="122"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Intertechnology, Inc., and Joel Smejkal. Incorporated by reference to Exhibit 10.5 to our current report on Form 8-K, filed on February 16, 2018.</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15†</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Amendment to Employment Agreement between Vishay Dale Electronics, LLC (a wholly owned subsidiary of Vishay Intertechnology, Inc.),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20" w:type="dxa"/>
            <w:vAlign w:val="bottom"/>
            <w:tcBorders>
              <w:top w:val="single" w:sz="8" w:color="0000EE"/>
            </w:tcBorders>
            <w:gridSpan w:val="33"/>
            <w:shd w:val="clear" w:color="auto" w:fill="CCEEFF"/>
          </w:tcPr>
          <w:p>
            <w:pPr>
              <w:spacing w:after="0" w:line="142"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Intertechnology, Inc., and Joel Smejkal dated May 20, 2020. Incorporated by reference to Exhibit 10.1 to our quarterly report on Form 10-Q for the fiscal quarter</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140" w:type="dxa"/>
            <w:vAlign w:val="bottom"/>
            <w:tcBorders>
              <w:top w:val="single" w:sz="8" w:color="0000EE"/>
              <w:bottom w:val="single" w:sz="8" w:color="0000EE"/>
            </w:tcBorders>
            <w:gridSpan w:val="5"/>
            <w:shd w:val="clear" w:color="auto" w:fill="CCEEFF"/>
          </w:tcPr>
          <w:p>
            <w:pPr>
              <w:spacing w:after="0" w:line="142"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ended July 4, 2020.</w:t>
              </w:r>
            </w:hyperlink>
          </w:p>
        </w:tc>
        <w:tc>
          <w:tcPr>
            <w:tcW w:w="8260" w:type="dxa"/>
            <w:vAlign w:val="bottom"/>
            <w:tcBorders>
              <w:top w:val="single" w:sz="8" w:color="0000EE"/>
              <w:bottom w:val="single" w:sz="8" w:color="CCEEFF"/>
            </w:tcBorders>
            <w:gridSpan w:val="17"/>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16†</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Second Amendment to Employment Agreement, dated February 23, 2021, between Vishay Dale Electronics, LLC (a wholly owned subsidiary of Vishay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660" w:type="dxa"/>
            <w:vAlign w:val="bottom"/>
            <w:tcBorders>
              <w:top w:val="single" w:sz="8" w:color="0000EE"/>
            </w:tcBorders>
            <w:gridSpan w:val="35"/>
          </w:tcPr>
          <w:p>
            <w:pPr>
              <w:spacing w:after="0" w:line="122"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Intertechnology, Inc.), Vishay Intertechnology, Inc., and Joel Smejkal.  Incorporated by reference to Exhibit 10.6 to our quarterly report on Form 10-Q for the</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580" w:type="dxa"/>
            <w:vAlign w:val="bottom"/>
            <w:tcBorders>
              <w:top w:val="single" w:sz="8" w:color="0000EE"/>
            </w:tcBorders>
            <w:gridSpan w:val="31"/>
          </w:tcPr>
          <w:p>
            <w:pPr>
              <w:spacing w:after="0" w:line="142"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fiscal quarter ended April 3,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17†</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Amended and Restated Employment Agreement, dated July 14, 2022, between Vishay Dale Electronics LLC (a wholly owned subsidiary of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9540" w:type="dxa"/>
            <w:vAlign w:val="bottom"/>
            <w:tcBorders>
              <w:top w:val="single" w:sz="8" w:color="0000EE"/>
              <w:bottom w:val="single" w:sz="8" w:color="0000EE"/>
            </w:tcBorders>
            <w:gridSpan w:val="29"/>
            <w:shd w:val="clear" w:color="auto" w:fill="CCEEFF"/>
          </w:tcPr>
          <w:p>
            <w:pPr>
              <w:spacing w:after="0" w:line="142"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Intertechnology, Inc.), Vishay Intertechnology, Inc., and Joel Smejkal. Incorporated by reference to Exhibit 10.2 to our current report on Form 8-K, filed July 18,</w:t>
              </w:r>
            </w:hyperlink>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100" w:type="dxa"/>
            <w:vAlign w:val="bottom"/>
            <w:tcBorders>
              <w:top w:val="single" w:sz="8" w:color="CCEEFF"/>
              <w:bottom w:val="single" w:sz="8" w:color="0000EE"/>
            </w:tcBorders>
            <w:gridSpan w:val="5"/>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EE"/>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0000EE"/>
            </w:tcBorders>
            <w:shd w:val="clear" w:color="auto" w:fill="CCEEFF"/>
          </w:tcPr>
          <w:p>
            <w:pPr>
              <w:spacing w:after="0" w:line="142"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2022.</w:t>
              </w:r>
            </w:hyperlink>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right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18†</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Amendment to Employment Agreement, dated February 27, 2024, between Vishay Dale Electronics LLC (a wholly owned subsidiary of Vishay Intertechnology,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820" w:type="dxa"/>
            <w:vAlign w:val="bottom"/>
            <w:tcBorders>
              <w:top w:val="single" w:sz="8" w:color="0000EE"/>
            </w:tcBorders>
            <w:gridSpan w:val="42"/>
          </w:tcPr>
          <w:p>
            <w:pPr>
              <w:spacing w:after="0" w:line="142"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Inc.), Vishay Intertechnology, Inc., and Joel Smejkal. Incorporated by reference to Exhibit 10.1 to our current report on Form 8-K, filed February 29, 2024.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19†</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Employment Agreement, dated February 15, 2018, between Vishay Europe GmbH (an indirect wholly owned subsidiary of Vishay Intertechnology, Inc.),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EE"/>
            </w:tcBorders>
            <w:gridSpan w:val="34"/>
            <w:shd w:val="clear" w:color="auto" w:fill="CCEEFF"/>
          </w:tcPr>
          <w:p>
            <w:pPr>
              <w:spacing w:after="0" w:line="142"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Intertechnology, Inc., and Lori Lipcaman. Incorporated by reference to Exhibit 10.1 to our current report on Form 8-K, filed on February 16, 2018.</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20†</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First Amendment to Employment Agreement, dated February 28, 2020, between Vishay Europe GmbH (an indirect wholly owned subsidiary of Vishay</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480" w:type="dxa"/>
            <w:vAlign w:val="bottom"/>
            <w:tcBorders>
              <w:top w:val="single" w:sz="8" w:color="0000EE"/>
              <w:bottom w:val="single" w:sz="8" w:color="0000EE"/>
            </w:tcBorders>
            <w:gridSpan w:val="26"/>
          </w:tcPr>
          <w:p>
            <w:pPr>
              <w:spacing w:after="0" w:line="122"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Intertechnology, Inc.), Vishay Intertechnology, Inc., and Lori Lipcaman.  Incorporated by reference to Exhibit 10.1 to our current report on Form 8-K, filed</w:t>
              </w:r>
            </w:hyperlink>
          </w:p>
        </w:tc>
        <w:tc>
          <w:tcPr>
            <w:tcW w:w="20" w:type="dxa"/>
            <w:vAlign w:val="bottom"/>
            <w:tcBorders>
              <w:bottom w:val="single" w:sz="8" w:color="0000EE"/>
            </w:tcBorders>
          </w:tcPr>
          <w:p>
            <w:pPr>
              <w:spacing w:after="0"/>
              <w:rPr>
                <w:sz w:val="10"/>
                <w:szCs w:val="10"/>
                <w:color w:val="auto"/>
              </w:rPr>
            </w:pPr>
          </w:p>
        </w:tc>
        <w:tc>
          <w:tcPr>
            <w:tcW w:w="60" w:type="dxa"/>
            <w:vAlign w:val="bottom"/>
            <w:tcBorders>
              <w:bottom w:val="single" w:sz="8" w:color="0000EE"/>
            </w:tcBorders>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560" w:type="dxa"/>
            <w:vAlign w:val="bottom"/>
            <w:gridSpan w:val="30"/>
          </w:tcPr>
          <w:p>
            <w:pPr>
              <w:spacing w:after="0" w:line="142"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February 28, 2020.</w:t>
              </w:r>
            </w:hyperlink>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21†</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Second Amendment to Employment Agreement, dated February 23, 2021, between Vishay Europe GmbH (an indirect wholly owned subsidiary of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9380" w:type="dxa"/>
            <w:vAlign w:val="bottom"/>
            <w:tcBorders>
              <w:top w:val="single" w:sz="8" w:color="0000EE"/>
              <w:bottom w:val="single" w:sz="8" w:color="0000EE"/>
            </w:tcBorders>
            <w:gridSpan w:val="21"/>
            <w:shd w:val="clear" w:color="auto" w:fill="CCEEFF"/>
          </w:tcPr>
          <w:p>
            <w:pPr>
              <w:spacing w:after="0" w:line="142"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Intertechnology, Inc.), Vishay Intertechnology, Inc., and Lori Lipcaman. Incorporated by reference to Exhibit 10.2 to our quarterly report on Form 10-Q for the</w:t>
              </w:r>
            </w:hyperlink>
          </w:p>
        </w:tc>
        <w:tc>
          <w:tcPr>
            <w:tcW w:w="60" w:type="dxa"/>
            <w:vAlign w:val="bottom"/>
            <w:tcBorders>
              <w:top w:val="single" w:sz="8" w:color="CCEEFF"/>
              <w:bottom w:val="single" w:sz="8" w:color="0000EE"/>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100" w:type="dxa"/>
            <w:vAlign w:val="bottom"/>
            <w:tcBorders>
              <w:top w:val="single" w:sz="8" w:color="CCEEFF"/>
              <w:bottom w:val="single" w:sz="8" w:color="0000EE"/>
            </w:tcBorders>
            <w:gridSpan w:val="5"/>
            <w:shd w:val="clear" w:color="auto" w:fill="CCEEFF"/>
          </w:tcPr>
          <w:p>
            <w:pPr>
              <w:spacing w:after="0"/>
              <w:rPr>
                <w:sz w:val="12"/>
                <w:szCs w:val="12"/>
                <w:color w:val="auto"/>
              </w:rPr>
            </w:pPr>
          </w:p>
        </w:tc>
        <w:tc>
          <w:tcPr>
            <w:tcW w:w="140" w:type="dxa"/>
            <w:vAlign w:val="bottom"/>
            <w:tcBorders>
              <w:top w:val="single" w:sz="8" w:color="CCEEFF"/>
              <w:bottom w:val="single" w:sz="8" w:color="0000EE"/>
            </w:tcBorders>
            <w:gridSpan w:val="7"/>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780" w:type="dxa"/>
            <w:vAlign w:val="bottom"/>
            <w:gridSpan w:val="41"/>
            <w:shd w:val="clear" w:color="auto" w:fill="CCEEFF"/>
          </w:tcPr>
          <w:p>
            <w:pPr>
              <w:spacing w:after="0" w:line="142"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fiscal quarter ended April 3, 2021.</w:t>
              </w:r>
            </w:hyperlink>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22†</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Third Amendment to Employment Agreement, dated July 14, 2022, between Vishay Europe GmbH (an indirect wholly owned subsidiary of Vishay</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520" w:type="dxa"/>
            <w:vAlign w:val="bottom"/>
            <w:tcBorders>
              <w:top w:val="single" w:sz="8" w:color="0000EE"/>
            </w:tcBorders>
            <w:gridSpan w:val="28"/>
          </w:tcPr>
          <w:p>
            <w:pPr>
              <w:spacing w:after="0" w:line="122"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Intertechnology, Inc.), Vishay Intertechnology, Inc., and Lori Lipcaman. Incorporated by reference to Exhibit 10.3 to our current report on Form 8-K, filed July</w:t>
              </w:r>
            </w:hyperlink>
          </w:p>
        </w:tc>
        <w:tc>
          <w:tcPr>
            <w:tcW w:w="80" w:type="dxa"/>
            <w:vAlign w:val="bottom"/>
            <w:gridSpan w:val="4"/>
          </w:tcPr>
          <w:p>
            <w:pPr>
              <w:spacing w:after="0"/>
              <w:rPr>
                <w:sz w:val="10"/>
                <w:szCs w:val="10"/>
                <w:color w:val="auto"/>
              </w:rPr>
            </w:pPr>
          </w:p>
        </w:tc>
        <w:tc>
          <w:tcPr>
            <w:tcW w:w="140" w:type="dxa"/>
            <w:vAlign w:val="bottom"/>
            <w:gridSpan w:val="7"/>
          </w:tcPr>
          <w:p>
            <w:pPr>
              <w:spacing w:after="0"/>
              <w:rPr>
                <w:sz w:val="10"/>
                <w:szCs w:val="10"/>
                <w:color w:val="auto"/>
              </w:rPr>
            </w:pPr>
          </w:p>
        </w:tc>
        <w:tc>
          <w:tcPr>
            <w:tcW w:w="1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Borders>
              <w:top w:val="single" w:sz="8" w:color="0000EE"/>
            </w:tcBorders>
            <w:gridSpan w:val="3"/>
          </w:tcPr>
          <w:p>
            <w:pPr>
              <w:spacing w:after="0" w:line="142"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18, 2022.</w:t>
              </w:r>
            </w:hyperlink>
          </w:p>
        </w:tc>
        <w:tc>
          <w:tcPr>
            <w:tcW w:w="2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4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64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23†</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Terms and Conditions of Johan Vandoorn Employment Agreement, dated January 16, 2012. Incorporated by reference to Exhibit 10.31 to our 2011 annual report</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EE"/>
            </w:tcBorders>
            <w:gridSpan w:val="39"/>
            <w:shd w:val="clear" w:color="auto" w:fill="CCEEFF"/>
          </w:tcPr>
          <w:p>
            <w:pPr>
              <w:spacing w:after="0" w:line="142"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on Form 10-K.</w:t>
              </w:r>
            </w:hyperlink>
          </w:p>
        </w:tc>
        <w:tc>
          <w:tcPr>
            <w:tcW w:w="80" w:type="dxa"/>
            <w:vAlign w:val="bottom"/>
            <w:tcBorders>
              <w:top w:val="single" w:sz="8" w:color="CCEEFF"/>
              <w:right w:val="single" w:sz="8" w:color="CCEEFF"/>
            </w:tcBorders>
            <w:gridSpan w:val="3"/>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24†</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Amendment to Terms and Conditions of Johan Vandoorn Employment Agreement, dated March 4, 2014.  Incorporated by reference to Exhibit 10.3 to our</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400" w:type="dxa"/>
            <w:vAlign w:val="bottom"/>
            <w:tcBorders>
              <w:top w:val="single" w:sz="8" w:color="0000EE"/>
            </w:tcBorders>
            <w:gridSpan w:val="22"/>
          </w:tcPr>
          <w:p>
            <w:pPr>
              <w:spacing w:after="0" w:line="122"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quarterly report on Form 10-Q for the fiscal quarter ended March 29, 2014.</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25†</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Second Amendment to Terms and Conditions of Johan Vandoorn Employment Agreement, dated March 3, 2015. Incorporated by reference to Exhibit 10.4 to our</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440" w:type="dxa"/>
            <w:vAlign w:val="bottom"/>
            <w:tcBorders>
              <w:top w:val="single" w:sz="8" w:color="0000EE"/>
            </w:tcBorders>
            <w:gridSpan w:val="24"/>
            <w:shd w:val="clear" w:color="auto" w:fill="CCEEFF"/>
          </w:tcPr>
          <w:p>
            <w:pPr>
              <w:spacing w:after="0" w:line="142"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quarterly report on Form 10-Q for the fiscal quarter ended April 4, 2015.</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20" w:type="dxa"/>
            <w:vAlign w:val="bottom"/>
            <w:tcBorders>
              <w:top w:val="single" w:sz="8" w:color="CCEEFF"/>
              <w:right w:val="single" w:sz="8" w:color="CCEEFF"/>
            </w:tcBorders>
            <w:gridSpan w:val="10"/>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26†</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Third Amendment to Terms and Conditions of Johan Vandoorn Employment Agreement, dated February 15, 2018. Incorporated by reference to Exhibit 10.2 to</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500" w:type="dxa"/>
            <w:vAlign w:val="bottom"/>
            <w:tcBorders>
              <w:top w:val="single" w:sz="8" w:color="0000EE"/>
            </w:tcBorders>
            <w:gridSpan w:val="27"/>
          </w:tcPr>
          <w:p>
            <w:pPr>
              <w:spacing w:after="0" w:line="122"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our current report on Form 8-K, filed on February 16, 2018.</w:t>
              </w:r>
            </w:hyperlink>
          </w:p>
        </w:tc>
        <w:tc>
          <w:tcPr>
            <w:tcW w:w="100" w:type="dxa"/>
            <w:vAlign w:val="bottom"/>
            <w:gridSpan w:val="5"/>
          </w:tcPr>
          <w:p>
            <w:pPr>
              <w:spacing w:after="0"/>
              <w:rPr>
                <w:sz w:val="10"/>
                <w:szCs w:val="10"/>
                <w:color w:val="auto"/>
              </w:rPr>
            </w:pPr>
          </w:p>
        </w:tc>
        <w:tc>
          <w:tcPr>
            <w:tcW w:w="2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27†</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Fourth Amendment to the Terms and Conditions of Johan Vandoorn Employment Agreement, dated February 23, 2021. Incorporated by reference to Exhibit 10.3</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4580" w:type="dxa"/>
            <w:vAlign w:val="bottom"/>
            <w:tcBorders>
              <w:top w:val="single" w:sz="8" w:color="0000EE"/>
              <w:bottom w:val="single" w:sz="8" w:color="0000EE"/>
            </w:tcBorders>
            <w:gridSpan w:val="10"/>
            <w:shd w:val="clear" w:color="auto" w:fill="CCEEFF"/>
          </w:tcPr>
          <w:p>
            <w:pPr>
              <w:spacing w:after="0" w:line="142"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to our quarterly report on Form 10-Q for the fiscal quarter ended April 3, 2021.</w:t>
              </w:r>
            </w:hyperlink>
          </w:p>
        </w:tc>
        <w:tc>
          <w:tcPr>
            <w:tcW w:w="5000" w:type="dxa"/>
            <w:vAlign w:val="bottom"/>
            <w:tcBorders>
              <w:top w:val="single" w:sz="8" w:color="0000EE"/>
              <w:bottom w:val="single" w:sz="8" w:color="CCEEFF"/>
            </w:tcBorders>
            <w:gridSpan w:val="21"/>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right w:val="single" w:sz="8" w:color="CCEEFF"/>
            </w:tcBorders>
            <w:gridSpan w:val="10"/>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1"/>
                  <w:szCs w:val="11"/>
                  <w:color w:val="0000EE"/>
                </w:rPr>
                <w:t>†</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Transition Agreement, dated July 15, 2022, between Vishay Capacitors Belgium NV (an indirect wholly owned subsidiary of Vishay Intertechnology, Inc.) and</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8200" w:type="dxa"/>
            <w:vAlign w:val="bottom"/>
            <w:tcBorders>
              <w:top w:val="single" w:sz="8" w:color="0000EE"/>
              <w:bottom w:val="single" w:sz="8" w:color="0000EE"/>
            </w:tcBorders>
            <w:gridSpan w:val="16"/>
          </w:tcPr>
          <w:p>
            <w:pPr>
              <w:spacing w:after="0" w:line="142"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Johan Vandoorn. Incorporated by reference to Exhibit 10.8 to our quarterly report on Form 10-Q for the fiscal quarter ended October 1, 2022.</w:t>
              </w:r>
            </w:hyperlink>
          </w:p>
        </w:tc>
        <w:tc>
          <w:tcPr>
            <w:tcW w:w="1520" w:type="dxa"/>
            <w:vAlign w:val="bottom"/>
            <w:tcBorders>
              <w:top w:val="single" w:sz="8" w:color="0000EE"/>
            </w:tcBorders>
            <w:gridSpan w:val="22"/>
          </w:tcPr>
          <w:p>
            <w:pPr>
              <w:spacing w:after="0"/>
              <w:rPr>
                <w:sz w:val="12"/>
                <w:szCs w:val="12"/>
                <w:color w:val="auto"/>
              </w:rPr>
            </w:pPr>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29†</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Employment Agreement, dated February 15, 2018, between Vishay Americas, Inc. (a wholly owned subsidiary of Vishay Intertechnology, Inc.), Vishay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8500" w:type="dxa"/>
            <w:vAlign w:val="bottom"/>
            <w:tcBorders>
              <w:top w:val="single" w:sz="8" w:color="0000EE"/>
              <w:bottom w:val="single" w:sz="8" w:color="0000EE"/>
              <w:right w:val="single" w:sz="8" w:color="CCEEFF"/>
            </w:tcBorders>
            <w:gridSpan w:val="18"/>
            <w:shd w:val="clear" w:color="auto" w:fill="CCEEFF"/>
          </w:tcPr>
          <w:p>
            <w:pPr>
              <w:spacing w:after="0" w:line="142"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Intertechnology, Inc., and David Valletta. Incorporated by reference to Exhibit 10.3 to our current report on Form 8-K, filed on February 16, 2018.</w:t>
              </w:r>
            </w:hyperlink>
          </w:p>
        </w:tc>
        <w:tc>
          <w:tcPr>
            <w:tcW w:w="1260" w:type="dxa"/>
            <w:vAlign w:val="bottom"/>
            <w:tcBorders>
              <w:top w:val="single" w:sz="8" w:color="0000EE"/>
              <w:bottom w:val="single" w:sz="8" w:color="CCEEFF"/>
            </w:tcBorders>
            <w:gridSpan w:val="22"/>
            <w:shd w:val="clear" w:color="auto" w:fill="CCEEFF"/>
          </w:tcPr>
          <w:p>
            <w:pPr>
              <w:spacing w:after="0"/>
              <w:rPr>
                <w:sz w:val="12"/>
                <w:szCs w:val="12"/>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30†</w:t>
              </w:r>
            </w:hyperlink>
          </w:p>
        </w:tc>
        <w:tc>
          <w:tcPr>
            <w:tcW w:w="9820" w:type="dxa"/>
            <w:vAlign w:val="bottom"/>
            <w:gridSpan w:val="42"/>
          </w:tcPr>
          <w:p>
            <w:pPr>
              <w:spacing w:after="0" w:line="135"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First Amendment to Employment Agreement, dated February 23, 2021, between Vishay Americas, Inc. (a wholly owned subsidiary of Vishay Intertechnology,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600" w:type="dxa"/>
            <w:vAlign w:val="bottom"/>
            <w:tcBorders>
              <w:top w:val="single" w:sz="8" w:color="0000EE"/>
            </w:tcBorders>
            <w:gridSpan w:val="32"/>
          </w:tcPr>
          <w:p>
            <w:pPr>
              <w:spacing w:after="0" w:line="142"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Inc.) Vishay Intertechnology, Inc., and David Valletta. Incorporated by reference to Exhibit 10.4 to our quarterly report on Form 10-Q for the fiscal quarter ended</w:t>
              </w:r>
            </w:hyperlink>
          </w:p>
        </w:tc>
        <w:tc>
          <w:tcPr>
            <w:tcW w:w="24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Borders>
              <w:top w:val="single" w:sz="8" w:color="0000EE"/>
              <w:bottom w:val="single" w:sz="8" w:color="0000EE"/>
            </w:tcBorders>
            <w:gridSpan w:val="3"/>
          </w:tcPr>
          <w:p>
            <w:pPr>
              <w:spacing w:after="0" w:line="142"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April 3, 2021.</w:t>
              </w:r>
            </w:hyperlink>
          </w:p>
        </w:tc>
        <w:tc>
          <w:tcPr>
            <w:tcW w:w="8600" w:type="dxa"/>
            <w:vAlign w:val="bottom"/>
            <w:tcBorders>
              <w:top w:val="single" w:sz="8" w:color="0000EE"/>
            </w:tcBorders>
            <w:gridSpan w:val="22"/>
          </w:tcPr>
          <w:p>
            <w:pPr>
              <w:spacing w:after="0"/>
              <w:rPr>
                <w:sz w:val="12"/>
                <w:szCs w:val="12"/>
                <w:color w:val="auto"/>
              </w:rPr>
            </w:pPr>
          </w:p>
        </w:tc>
        <w:tc>
          <w:tcPr>
            <w:tcW w:w="38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1"/>
                  <w:szCs w:val="11"/>
                  <w:color w:val="0000EE"/>
                </w:rPr>
                <w:t>†</w:t>
              </w:r>
            </w:hyperlink>
          </w:p>
        </w:tc>
        <w:tc>
          <w:tcPr>
            <w:tcW w:w="9820" w:type="dxa"/>
            <w:vAlign w:val="bottom"/>
            <w:tcBorders>
              <w:right w:val="single" w:sz="8" w:color="CCEEFF"/>
            </w:tcBorders>
            <w:gridSpan w:val="42"/>
            <w:shd w:val="clear" w:color="auto" w:fill="CCEEFF"/>
          </w:tcPr>
          <w:p>
            <w:pPr>
              <w:spacing w:after="0" w:line="135"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Transition Agreement, dated July 15, 2022, between Vishay Americas, Inc. (a wholly owned subsidiary of Vishay Intertechnology, Inc.), Vishay Intertechnology,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EE"/>
            </w:tcBorders>
            <w:gridSpan w:val="31"/>
            <w:shd w:val="clear" w:color="auto" w:fill="CCEEFF"/>
          </w:tcPr>
          <w:p>
            <w:pPr>
              <w:spacing w:after="0" w:line="142"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Inc., and David Valletta. Incorporated by reference to Exhibit 10.9 to our quarterly report on Form 10-Q for the fiscal quarter ended October 1, 2022.</w:t>
              </w:r>
            </w:hyperlink>
          </w:p>
        </w:tc>
        <w:tc>
          <w:tcPr>
            <w:tcW w:w="240" w:type="dxa"/>
            <w:vAlign w:val="bottom"/>
            <w:tcBorders>
              <w:top w:val="single" w:sz="8" w:color="CCEEFF"/>
              <w:right w:val="single" w:sz="8" w:color="CCEEFF"/>
            </w:tcBorders>
            <w:gridSpan w:val="11"/>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7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200" w:type="dxa"/>
            <w:vAlign w:val="bottom"/>
            <w:tcBorders>
              <w:top w:val="single" w:sz="8" w:color="0000EE"/>
            </w:tcBorders>
            <w:gridSpan w:val="8"/>
          </w:tcPr>
          <w:p>
            <w:pPr>
              <w:ind w:left="3680"/>
              <w:spacing w:after="0"/>
              <w:rPr>
                <w:sz w:val="20"/>
                <w:szCs w:val="20"/>
                <w:color w:val="auto"/>
              </w:rPr>
            </w:pPr>
            <w:r>
              <w:rPr>
                <w:rFonts w:ascii="Times New Roman" w:cs="Times New Roman" w:eastAsia="Times New Roman" w:hAnsi="Times New Roman"/>
                <w:sz w:val="12"/>
                <w:szCs w:val="12"/>
                <w:color w:val="auto"/>
              </w:rPr>
              <w:t>66</w:t>
            </w: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7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19" w:right="29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200" w:type="dxa"/>
            <w:vAlign w:val="bottom"/>
            <w:gridSpan w:val="4"/>
          </w:tcPr>
          <w:p>
            <w:pPr>
              <w:spacing w:after="0"/>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32†</w:t>
              </w:r>
            </w:hyperlink>
          </w:p>
        </w:tc>
        <w:tc>
          <w:tcPr>
            <w:tcW w:w="9880" w:type="dxa"/>
            <w:vAlign w:val="bottom"/>
            <w:gridSpan w:val="47"/>
          </w:tcPr>
          <w:p>
            <w:pPr>
              <w:spacing w:after="0"/>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Employment Agreement, dated February 15, 2018, between Vishay Singapore Pte. Ltd. (an indirect wholly owned subsidiary of Vishay Intertechnology, Inc.),</w:t>
              </w:r>
            </w:hyperlink>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80" w:type="dxa"/>
            <w:vAlign w:val="bottom"/>
            <w:tcBorders>
              <w:top w:val="single" w:sz="8" w:color="0000EE"/>
            </w:tcBorders>
            <w:gridSpan w:val="27"/>
          </w:tcPr>
          <w:p>
            <w:pPr>
              <w:spacing w:after="0" w:line="142"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Vishay Intertechnology, Inc., and Clarence Tse. Incorporated by reference to Exhibit 10.4 to our current report on Form 8-K, filed on February 16,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0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33†</w:t>
              </w:r>
            </w:hyperlink>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First Amendment to Employment Agreement, dated February 23, 2021, between Vishay Singapore Pte. Ltd. (an indirect wholly owned subsidiary of Vishay</w:t>
              </w:r>
            </w:hyperlink>
          </w:p>
        </w:tc>
        <w:tc>
          <w:tcPr>
            <w:tcW w:w="0" w:type="dxa"/>
            <w:vAlign w:val="bottom"/>
          </w:tcPr>
          <w:p>
            <w:pPr>
              <w:spacing w:after="0"/>
              <w:rPr>
                <w:sz w:val="1"/>
                <w:szCs w:val="1"/>
                <w:color w:val="auto"/>
              </w:rPr>
            </w:pPr>
          </w:p>
        </w:tc>
      </w:tr>
      <w:tr>
        <w:trPr>
          <w:trHeight w:val="142"/>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9440" w:type="dxa"/>
            <w:vAlign w:val="bottom"/>
            <w:tcBorders>
              <w:top w:val="single" w:sz="8" w:color="0000EE"/>
              <w:bottom w:val="single" w:sz="8" w:color="0000EE"/>
            </w:tcBorders>
            <w:gridSpan w:val="25"/>
            <w:shd w:val="clear" w:color="auto" w:fill="CCEEFF"/>
          </w:tcPr>
          <w:p>
            <w:pPr>
              <w:spacing w:after="0" w:line="142"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Intertechnology, Inc.), Vishay Intertechnology, Inc., and Clarence Tse.  Incorporated by reference to Exhibit 10.5 to our quarterly report on Form 10-Q for the</w:t>
              </w:r>
            </w:hyperlink>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500" w:type="dxa"/>
            <w:vAlign w:val="bottom"/>
            <w:gridSpan w:val="28"/>
            <w:shd w:val="clear" w:color="auto" w:fill="CCEEFF"/>
          </w:tcPr>
          <w:p>
            <w:pPr>
              <w:spacing w:after="0" w:line="142"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fiscal quarter ended April 3, 2021</w:t>
              </w:r>
              <w:r>
                <w:rPr>
                  <w:rFonts w:ascii="Times New Roman" w:cs="Times New Roman" w:eastAsia="Times New Roman" w:hAnsi="Times New Roman"/>
                  <w:sz w:val="14"/>
                  <w:szCs w:val="14"/>
                  <w:color w:val="000000"/>
                </w:rPr>
                <w:t>.</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34†</w:t>
              </w:r>
            </w:hyperlink>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Transition Agreement, dated July 15, 2022, between Vishay Singapore Pte. Ltd. (an indirect wholly owned subsidiary of Vishay Intertechnology, Inc.), Vishay</w:t>
              </w:r>
            </w:hyperlink>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0" w:type="dxa"/>
            <w:vAlign w:val="bottom"/>
            <w:tcBorders>
              <w:top w:val="single" w:sz="8" w:color="0000EE"/>
              <w:bottom w:val="single" w:sz="8" w:color="0000EE"/>
            </w:tcBorders>
            <w:gridSpan w:val="23"/>
          </w:tcPr>
          <w:p>
            <w:pPr>
              <w:spacing w:after="0" w:line="142"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Intertechnology, Inc., and Clarence Tse. Incorporated by reference to Exhibit 10.10 to our quarterly report on Form 10-Q for the fiscal quarter ended October 1,</w:t>
              </w:r>
            </w:hyperlink>
          </w:p>
        </w:tc>
        <w:tc>
          <w:tcPr>
            <w:tcW w:w="20" w:type="dxa"/>
            <w:vAlign w:val="bottom"/>
            <w:tcBorders>
              <w:bottom w:val="single" w:sz="8" w:color="0000EE"/>
            </w:tcBorders>
          </w:tcPr>
          <w:p>
            <w:pPr>
              <w:spacing w:after="0"/>
              <w:rPr>
                <w:sz w:val="12"/>
                <w:szCs w:val="12"/>
                <w:color w:val="auto"/>
              </w:rPr>
            </w:pPr>
          </w:p>
        </w:tc>
        <w:tc>
          <w:tcPr>
            <w:tcW w:w="40" w:type="dxa"/>
            <w:vAlign w:val="bottom"/>
            <w:tcBorders>
              <w:bottom w:val="single" w:sz="8" w:color="0000EE"/>
            </w:tcBorders>
            <w:gridSpan w:val="2"/>
          </w:tcPr>
          <w:p>
            <w:pPr>
              <w:spacing w:after="0"/>
              <w:rPr>
                <w:sz w:val="12"/>
                <w:szCs w:val="12"/>
                <w:color w:val="auto"/>
              </w:rPr>
            </w:pPr>
          </w:p>
        </w:tc>
        <w:tc>
          <w:tcPr>
            <w:tcW w:w="60" w:type="dxa"/>
            <w:vAlign w:val="bottom"/>
            <w:tcBorders>
              <w:bottom w:val="single" w:sz="8" w:color="0000EE"/>
            </w:tcBorders>
            <w:gridSpan w:val="3"/>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Borders>
              <w:bottom w:val="single" w:sz="8" w:color="0000EE"/>
            </w:tcBorders>
          </w:tcPr>
          <w:p>
            <w:pPr>
              <w:spacing w:after="0" w:line="142"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2022.</w:t>
              </w:r>
            </w:hyperlink>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35†</w:t>
              </w:r>
            </w:hyperlink>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Employment Agreement between Vishay Israel Ltd. (a wholly owned subsidiary of Vishay Intertechnology, Inc.), Vishay Intertechnology, Inc., and Jeffrey</w:t>
              </w:r>
            </w:hyperlink>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8700" w:type="dxa"/>
            <w:vAlign w:val="bottom"/>
            <w:tcBorders>
              <w:top w:val="single" w:sz="8" w:color="0000EE"/>
              <w:bottom w:val="single" w:sz="8" w:color="0000EE"/>
            </w:tcBorders>
            <w:gridSpan w:val="20"/>
            <w:shd w:val="clear" w:color="auto" w:fill="CCEEFF"/>
          </w:tcPr>
          <w:p>
            <w:pPr>
              <w:spacing w:after="0" w:line="142"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Webster dated May 20, 2020. Incorporated by reference to Exhibit 10.2 to our quarterly report on Form 10-Q for the fiscal quarter ended July 4, 2020.</w:t>
              </w:r>
            </w:hyperlink>
          </w:p>
        </w:tc>
        <w:tc>
          <w:tcPr>
            <w:tcW w:w="880" w:type="dxa"/>
            <w:vAlign w:val="bottom"/>
            <w:tcBorders>
              <w:top w:val="single" w:sz="8" w:color="0000EE"/>
              <w:bottom w:val="single" w:sz="8" w:color="CCEEFF"/>
            </w:tcBorders>
            <w:gridSpan w:val="1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36†</w:t>
              </w:r>
            </w:hyperlink>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First Amendment to Employment Agreement, dated February 23, 2021, between Vishay Israel Ltd. (a wholly owned subsidiary of Vishay Intertechnology, Inc.),</w:t>
              </w:r>
            </w:hyperlink>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580" w:type="dxa"/>
            <w:vAlign w:val="bottom"/>
            <w:tcBorders>
              <w:top w:val="single" w:sz="8" w:color="0000EE"/>
              <w:bottom w:val="single" w:sz="8" w:color="0000EE"/>
            </w:tcBorders>
            <w:gridSpan w:val="32"/>
          </w:tcPr>
          <w:p>
            <w:pPr>
              <w:spacing w:after="0" w:line="142"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Vishay Intertechnology, Inc., and Jeffrey Webster.  Incorporated by reference to Exhibit 10.7 to our quarterly report on Form 10-Q for the fiscal quarter ended</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Borders>
              <w:bottom w:val="single" w:sz="8" w:color="0000EE"/>
            </w:tcBorders>
            <w:gridSpan w:val="2"/>
          </w:tcPr>
          <w:p>
            <w:pPr>
              <w:spacing w:after="0" w:line="142"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April 3, 2021.</w:t>
              </w:r>
            </w:hyperlink>
          </w:p>
        </w:tc>
        <w:tc>
          <w:tcPr>
            <w:tcW w:w="8960" w:type="dxa"/>
            <w:vAlign w:val="bottom"/>
            <w:gridSpan w:val="4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37†</w:t>
              </w:r>
            </w:hyperlink>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Amended and Restated Employment Agreement, dated July 14, 2022, between Vishay Israel Ltd. (a wholly owned subsidiary of Vishay Intertechnology, Inc.),</w:t>
              </w:r>
            </w:hyperlink>
          </w:p>
        </w:tc>
        <w:tc>
          <w:tcPr>
            <w:tcW w:w="0" w:type="dxa"/>
            <w:vAlign w:val="bottom"/>
          </w:tcPr>
          <w:p>
            <w:pPr>
              <w:spacing w:after="0"/>
              <w:rPr>
                <w:sz w:val="1"/>
                <w:szCs w:val="1"/>
                <w:color w:val="auto"/>
              </w:rPr>
            </w:pPr>
          </w:p>
        </w:tc>
      </w:tr>
      <w:tr>
        <w:trPr>
          <w:trHeight w:val="129"/>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EE"/>
              <w:bottom w:val="single" w:sz="8" w:color="CCEEFF"/>
            </w:tcBorders>
            <w:shd w:val="clear" w:color="auto" w:fill="CCEEFF"/>
          </w:tcPr>
          <w:p>
            <w:pPr>
              <w:spacing w:after="0"/>
              <w:rPr>
                <w:sz w:val="11"/>
                <w:szCs w:val="11"/>
                <w:color w:val="auto"/>
              </w:rPr>
            </w:pPr>
          </w:p>
        </w:tc>
        <w:tc>
          <w:tcPr>
            <w:tcW w:w="60" w:type="dxa"/>
            <w:vAlign w:val="bottom"/>
            <w:tcBorders>
              <w:top w:val="single" w:sz="8" w:color="0000EE"/>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8340" w:type="dxa"/>
            <w:vAlign w:val="bottom"/>
            <w:tcBorders>
              <w:top w:val="single" w:sz="8" w:color="0000EE"/>
              <w:bottom w:val="single" w:sz="8" w:color="0000EE"/>
            </w:tcBorders>
            <w:gridSpan w:val="18"/>
            <w:shd w:val="clear" w:color="auto" w:fill="CCEEFF"/>
          </w:tcPr>
          <w:p>
            <w:pPr>
              <w:spacing w:after="0" w:line="122"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Vishay Intertechnology, Inc., and Jeff Webster. Incorporated by reference to Exhibit 10.4 to our current report on Form 8-K, filed July 18, 2022.</w:t>
              </w:r>
            </w:hyperlink>
          </w:p>
        </w:tc>
        <w:tc>
          <w:tcPr>
            <w:tcW w:w="1480" w:type="dxa"/>
            <w:vAlign w:val="bottom"/>
            <w:tcBorders>
              <w:top w:val="single" w:sz="8" w:color="0000EE"/>
              <w:bottom w:val="single" w:sz="8" w:color="CCEEFF"/>
            </w:tcBorders>
            <w:gridSpan w:val="26"/>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38†</w:t>
              </w:r>
            </w:hyperlink>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Amendment to Employment Agreement, dated February 27, 2024, between Vishay Israel Ltd. (a wholly owned subsidiary of Vishay Intertechnology, Inc.), Vishay</w:t>
              </w:r>
            </w:hyperlink>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140" w:type="dxa"/>
            <w:vAlign w:val="bottom"/>
            <w:tcBorders>
              <w:top w:val="single" w:sz="8" w:color="0000EE"/>
              <w:bottom w:val="single" w:sz="8" w:color="0000EE"/>
            </w:tcBorders>
            <w:gridSpan w:val="17"/>
          </w:tcPr>
          <w:p>
            <w:pPr>
              <w:spacing w:after="0" w:line="142"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Intertechnology, Inc., and Jeff Webster. Incorporated by reference to Exhibit 10.2 to our current report on Form 8-K, filed February 29, 2024.</w:t>
              </w:r>
            </w:hyperlink>
          </w:p>
        </w:tc>
        <w:tc>
          <w:tcPr>
            <w:tcW w:w="1460" w:type="dxa"/>
            <w:vAlign w:val="bottom"/>
            <w:tcBorders>
              <w:top w:val="single" w:sz="8" w:color="0000EE"/>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39†</w:t>
              </w:r>
            </w:hyperlink>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Employment Agreement, dated July 14, 2022, between Siliconix incorporated (a wholly owned subsidiary of Vishay Intertechnology, Inc.), Vishay</w:t>
              </w:r>
            </w:hyperlink>
          </w:p>
        </w:tc>
        <w:tc>
          <w:tcPr>
            <w:tcW w:w="0" w:type="dxa"/>
            <w:vAlign w:val="bottom"/>
          </w:tcPr>
          <w:p>
            <w:pPr>
              <w:spacing w:after="0"/>
              <w:rPr>
                <w:sz w:val="1"/>
                <w:szCs w:val="1"/>
                <w:color w:val="auto"/>
              </w:rPr>
            </w:pPr>
          </w:p>
        </w:tc>
      </w:tr>
      <w:tr>
        <w:trPr>
          <w:trHeight w:val="129"/>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EE"/>
              <w:bottom w:val="single" w:sz="8" w:color="CCEEFF"/>
            </w:tcBorders>
            <w:shd w:val="clear" w:color="auto" w:fill="CCEEFF"/>
          </w:tcPr>
          <w:p>
            <w:pPr>
              <w:spacing w:after="0"/>
              <w:rPr>
                <w:sz w:val="11"/>
                <w:szCs w:val="11"/>
                <w:color w:val="auto"/>
              </w:rPr>
            </w:pPr>
          </w:p>
        </w:tc>
        <w:tc>
          <w:tcPr>
            <w:tcW w:w="60" w:type="dxa"/>
            <w:vAlign w:val="bottom"/>
            <w:tcBorders>
              <w:top w:val="single" w:sz="8" w:color="0000EE"/>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7960" w:type="dxa"/>
            <w:vAlign w:val="bottom"/>
            <w:tcBorders>
              <w:top w:val="single" w:sz="8" w:color="0000EE"/>
              <w:bottom w:val="single" w:sz="8" w:color="0000EE"/>
            </w:tcBorders>
            <w:gridSpan w:val="16"/>
            <w:shd w:val="clear" w:color="auto" w:fill="CCEEFF"/>
          </w:tcPr>
          <w:p>
            <w:pPr>
              <w:spacing w:after="0" w:line="122"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Intertechnology, Inc. and Roy Shoshani. Incorporated by reference to Exhibit 10.5 to our current report on Form 8-K, filed July 18, 2022.</w:t>
              </w:r>
            </w:hyperlink>
          </w:p>
        </w:tc>
        <w:tc>
          <w:tcPr>
            <w:tcW w:w="1600" w:type="dxa"/>
            <w:vAlign w:val="bottom"/>
            <w:tcBorders>
              <w:top w:val="single" w:sz="8" w:color="0000EE"/>
              <w:bottom w:val="single" w:sz="8" w:color="CCEEFF"/>
            </w:tcBorders>
            <w:gridSpan w:val="15"/>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40†</w:t>
              </w:r>
            </w:hyperlink>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Amendment to Employment Agreement, dated February 27, 2024, between Siliconix incorporated (a wholly owned subsidiary of Vishay Intertechnology, Inc.),</w:t>
              </w:r>
            </w:hyperlink>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80" w:type="dxa"/>
            <w:vAlign w:val="bottom"/>
            <w:tcBorders>
              <w:top w:val="single" w:sz="8" w:color="0000EE"/>
            </w:tcBorders>
            <w:gridSpan w:val="37"/>
          </w:tcPr>
          <w:p>
            <w:pPr>
              <w:spacing w:after="0" w:line="142"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Vishay Intertechnology, Inc., and Roy Shoshani. Incorporated by reference to Exhibit 10.4 to our current report on Form 8-K, filed February 29,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0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41†**</w:t>
            </w:r>
          </w:p>
        </w:tc>
        <w:tc>
          <w:tcPr>
            <w:tcW w:w="9880" w:type="dxa"/>
            <w:vAlign w:val="bottom"/>
            <w:gridSpan w:val="4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Second Amendment to Employment Agreement, dated January 13, 2025, between Siliconix incorporated (a wholly owned subsidiary of Vishay Intertechnology,</w:t>
            </w:r>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160" w:type="dxa"/>
            <w:vAlign w:val="bottom"/>
            <w:tcBorders>
              <w:top w:val="single" w:sz="8" w:color="0000EE"/>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3280" w:type="dxa"/>
            <w:vAlign w:val="bottom"/>
            <w:tcBorders>
              <w:top w:val="single" w:sz="8" w:color="0000EE"/>
              <w:bottom w:val="single" w:sz="8" w:color="0000EE"/>
              <w:right w:val="single" w:sz="8" w:color="CCEEFF"/>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0000EE"/>
              </w:rPr>
              <w:t>Inc.), Vishay Intertechnology, Inc., and Roy Shoshani.</w:t>
            </w:r>
          </w:p>
        </w:tc>
        <w:tc>
          <w:tcPr>
            <w:tcW w:w="6580" w:type="dxa"/>
            <w:vAlign w:val="bottom"/>
            <w:tcBorders>
              <w:top w:val="single" w:sz="8" w:color="0000EE"/>
              <w:bottom w:val="single" w:sz="8" w:color="CCEEFF"/>
            </w:tcBorders>
            <w:gridSpan w:val="4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42†</w:t>
              </w:r>
            </w:hyperlink>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Employment Agreement between Vishay Electronic GmbH (an indirect wholly owned subsidiary of Vishay Intertechnology, Inc.), Vishay Intertechnology, Inc.,</w:t>
              </w:r>
            </w:hyperlink>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700" w:type="dxa"/>
            <w:vAlign w:val="bottom"/>
            <w:tcBorders>
              <w:top w:val="single" w:sz="8" w:color="0000EE"/>
            </w:tcBorders>
            <w:gridSpan w:val="38"/>
          </w:tcPr>
          <w:p>
            <w:pPr>
              <w:spacing w:after="0" w:line="122"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and Andreas Randebrock dated May 20, 2020. Incorporated by reference to Exhibit 10.3 to our quarterly report on Form 10-Q for the fiscal quarter ended July 4,</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Borders>
              <w:top w:val="single" w:sz="8" w:color="0000EE"/>
              <w:bottom w:val="single" w:sz="8" w:color="0000EE"/>
            </w:tcBorders>
          </w:tcPr>
          <w:p>
            <w:pPr>
              <w:spacing w:after="0" w:line="142"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2020.</w:t>
              </w:r>
            </w:hyperlink>
          </w:p>
        </w:tc>
        <w:tc>
          <w:tcPr>
            <w:tcW w:w="480" w:type="dxa"/>
            <w:vAlign w:val="bottom"/>
            <w:tcBorders>
              <w:top w:val="single" w:sz="8" w:color="0000EE"/>
            </w:tcBorders>
          </w:tcPr>
          <w:p>
            <w:pPr>
              <w:spacing w:after="0"/>
              <w:rPr>
                <w:sz w:val="12"/>
                <w:szCs w:val="12"/>
                <w:color w:val="auto"/>
              </w:rPr>
            </w:pPr>
          </w:p>
        </w:tc>
        <w:tc>
          <w:tcPr>
            <w:tcW w:w="114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86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306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43†</w:t>
              </w:r>
            </w:hyperlink>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First Amendment to Employment Agreement, dated February 23, 2021, between Vishay Electronic GmbH (an indirect wholly owned subsidiary of Vishay</w:t>
              </w:r>
            </w:hyperlink>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EE"/>
            </w:tcBorders>
            <w:gridSpan w:val="43"/>
            <w:shd w:val="clear" w:color="auto" w:fill="CCEEFF"/>
          </w:tcPr>
          <w:p>
            <w:pPr>
              <w:spacing w:after="0" w:line="142"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Intertechnology, Inc.), Vishay Intertechnology, Inc., and Andreas Randebrock. Incorporated by reference to Exhibit 10.8 to our quarterly report on Form 10-Q for</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EE"/>
            </w:tcBorders>
            <w:gridSpan w:val="35"/>
            <w:shd w:val="clear" w:color="auto" w:fill="CCEEFF"/>
          </w:tcPr>
          <w:p>
            <w:pPr>
              <w:spacing w:after="0" w:line="142"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the fiscal quarter ended April 3, 2021.</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44†</w:t>
              </w:r>
            </w:hyperlink>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Second Amendment to Employment Agreement, dated July 14, 2022, between Vishay Electronic GmbH (an indirect wholly owned subsidiary of Vishay</w:t>
              </w:r>
            </w:hyperlink>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60" w:type="dxa"/>
            <w:vAlign w:val="bottom"/>
            <w:tcBorders>
              <w:top w:val="single" w:sz="8" w:color="0000EE"/>
              <w:bottom w:val="single" w:sz="8" w:color="0000EE"/>
            </w:tcBorders>
            <w:gridSpan w:val="36"/>
          </w:tcPr>
          <w:p>
            <w:pPr>
              <w:spacing w:after="0" w:line="142"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Intertechnology, Inc.), Vishay Intertechnology, Inc., and Andreas Randebrock. Incorporated by reference to Exhibit 10.6 to our current report on Form 8-K, filed</w:t>
              </w:r>
            </w:hyperlink>
          </w:p>
        </w:tc>
        <w:tc>
          <w:tcPr>
            <w:tcW w:w="60" w:type="dxa"/>
            <w:vAlign w:val="bottom"/>
            <w:tcBorders>
              <w:bottom w:val="single" w:sz="8" w:color="0000EE"/>
            </w:tcBorders>
            <w:gridSpan w:val="3"/>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740" w:type="dxa"/>
            <w:vAlign w:val="bottom"/>
            <w:gridSpan w:val="40"/>
          </w:tcPr>
          <w:p>
            <w:pPr>
              <w:spacing w:after="0" w:line="142"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July 18, 2022.</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45†</w:t>
              </w:r>
            </w:hyperlink>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Second Amended and Restated Employment Agreement, dated July 14, 2022, between Vishay Intertechnology, Inc. and Peter Henrici. Incorporated by reference</w:t>
              </w:r>
            </w:hyperlink>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9420" w:type="dxa"/>
            <w:vAlign w:val="bottom"/>
            <w:tcBorders>
              <w:top w:val="single" w:sz="8" w:color="0000EE"/>
            </w:tcBorders>
            <w:gridSpan w:val="24"/>
            <w:shd w:val="clear" w:color="auto" w:fill="CCEEFF"/>
          </w:tcPr>
          <w:p>
            <w:pPr>
              <w:spacing w:after="0" w:line="142"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to Exhibit 10.7 to our current report on Form 8-K, filed July 18, 2022.</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46†</w:t>
              </w:r>
            </w:hyperlink>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Amendment to Employment Agreement, dated February 27, 2024, between Vishay Intertechnology, Inc., and Peter Henrici. Incorporated by reference to Exhibit</w:t>
              </w:r>
            </w:hyperlink>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760" w:type="dxa"/>
            <w:vAlign w:val="bottom"/>
            <w:tcBorders>
              <w:top w:val="single" w:sz="8" w:color="0000EE"/>
            </w:tcBorders>
            <w:gridSpan w:val="41"/>
          </w:tcPr>
          <w:p>
            <w:pPr>
              <w:spacing w:after="0" w:line="122"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0000EE"/>
                </w:rPr>
                <w:t xml:space="preserve"> to our current report on Form 8-K, filed February, 29, 2024.</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47†</w:t>
              </w:r>
            </w:hyperlink>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Employment Agreement, dated February 27, 2024, between Vishay Intertechnology, Inc., and David E. McConnell. Incorporated by reference to Exhibit 10.3 to</w:t>
              </w:r>
            </w:hyperlink>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9720" w:type="dxa"/>
            <w:vAlign w:val="bottom"/>
            <w:tcBorders>
              <w:top w:val="single" w:sz="8" w:color="0000EE"/>
            </w:tcBorders>
            <w:gridSpan w:val="39"/>
            <w:shd w:val="clear" w:color="auto" w:fill="CCEEFF"/>
          </w:tcPr>
          <w:p>
            <w:pPr>
              <w:spacing w:after="0" w:line="142"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our current report on Form 8-K, filed February 29, 2024.</w:t>
              </w:r>
            </w:hyperlink>
          </w:p>
        </w:tc>
        <w:tc>
          <w:tcPr>
            <w:tcW w:w="120" w:type="dxa"/>
            <w:vAlign w:val="bottom"/>
            <w:tcBorders>
              <w:top w:val="single" w:sz="8" w:color="CCEEFF"/>
            </w:tcBorders>
            <w:gridSpan w:val="6"/>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48†</w:t>
              </w:r>
            </w:hyperlink>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Employment Agreement, dated February 27, 2024, between Vishay Intertechnology, Inc., and Michael O'Sullivan. Incorporated by reference to Exhibit 10.5 to our</w:t>
              </w:r>
            </w:hyperlink>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60" w:type="dxa"/>
            <w:vAlign w:val="bottom"/>
            <w:tcBorders>
              <w:top w:val="single" w:sz="8" w:color="0000EE"/>
              <w:bottom w:val="single" w:sz="8" w:color="0000EE"/>
            </w:tcBorders>
            <w:gridSpan w:val="5"/>
          </w:tcPr>
          <w:p>
            <w:pPr>
              <w:spacing w:after="0" w:line="142"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current report on Form 8-K, filed February 29, 2024.</w:t>
              </w:r>
            </w:hyperlink>
          </w:p>
        </w:tc>
        <w:tc>
          <w:tcPr>
            <w:tcW w:w="6460" w:type="dxa"/>
            <w:vAlign w:val="bottom"/>
            <w:tcBorders>
              <w:top w:val="single" w:sz="8" w:color="0000EE"/>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20" w:type="dxa"/>
            <w:vAlign w:val="bottom"/>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49†</w:t>
              </w:r>
            </w:hyperlink>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Vishay Intertechnology, Inc. Key Employee Wealth Accumulation Plan (as amended and restated, effective January 1, 2017). Incorporated by reference to Exhibit</w:t>
              </w:r>
            </w:hyperlink>
          </w:p>
        </w:tc>
        <w:tc>
          <w:tcPr>
            <w:tcW w:w="0" w:type="dxa"/>
            <w:vAlign w:val="bottom"/>
          </w:tcPr>
          <w:p>
            <w:pPr>
              <w:spacing w:after="0"/>
              <w:rPr>
                <w:sz w:val="1"/>
                <w:szCs w:val="1"/>
                <w:color w:val="auto"/>
              </w:rPr>
            </w:pPr>
          </w:p>
        </w:tc>
      </w:tr>
      <w:tr>
        <w:trPr>
          <w:trHeight w:val="129"/>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EE"/>
              <w:bottom w:val="single" w:sz="8" w:color="CCEEFF"/>
            </w:tcBorders>
            <w:shd w:val="clear" w:color="auto" w:fill="CCEEFF"/>
          </w:tcPr>
          <w:p>
            <w:pPr>
              <w:spacing w:after="0"/>
              <w:rPr>
                <w:sz w:val="11"/>
                <w:szCs w:val="11"/>
                <w:color w:val="auto"/>
              </w:rPr>
            </w:pPr>
          </w:p>
        </w:tc>
        <w:tc>
          <w:tcPr>
            <w:tcW w:w="60" w:type="dxa"/>
            <w:vAlign w:val="bottom"/>
            <w:tcBorders>
              <w:top w:val="single" w:sz="8" w:color="0000EE"/>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3760" w:type="dxa"/>
            <w:vAlign w:val="bottom"/>
            <w:tcBorders>
              <w:top w:val="single" w:sz="8" w:color="0000EE"/>
              <w:bottom w:val="single" w:sz="8" w:color="0000EE"/>
            </w:tcBorders>
            <w:gridSpan w:val="9"/>
            <w:shd w:val="clear" w:color="auto" w:fill="CCEEFF"/>
          </w:tcPr>
          <w:p>
            <w:pPr>
              <w:spacing w:after="0" w:line="122"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our current report on Form 8-K filed December 23, 2016.</w:t>
              </w:r>
            </w:hyperlink>
          </w:p>
        </w:tc>
        <w:tc>
          <w:tcPr>
            <w:tcW w:w="5780" w:type="dxa"/>
            <w:vAlign w:val="bottom"/>
            <w:tcBorders>
              <w:top w:val="single" w:sz="8" w:color="0000EE"/>
              <w:bottom w:val="single" w:sz="8" w:color="CCEEFF"/>
            </w:tcBorders>
            <w:gridSpan w:val="21"/>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4"/>
            <w:shd w:val="clear" w:color="auto" w:fill="CCEEFF"/>
          </w:tcPr>
          <w:p>
            <w:pPr>
              <w:spacing w:after="0"/>
              <w:rPr>
                <w:sz w:val="11"/>
                <w:szCs w:val="11"/>
                <w:color w:val="auto"/>
              </w:rPr>
            </w:pPr>
          </w:p>
        </w:tc>
        <w:tc>
          <w:tcPr>
            <w:tcW w:w="220" w:type="dxa"/>
            <w:vAlign w:val="bottom"/>
            <w:tcBorders>
              <w:top w:val="single" w:sz="8" w:color="CCEEFF"/>
              <w:bottom w:val="single" w:sz="8" w:color="CCEEFF"/>
            </w:tcBorders>
            <w:gridSpan w:val="11"/>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3"/>
          </w:tcPr>
          <w:p>
            <w:pPr>
              <w:ind w:left="700"/>
              <w:spacing w:after="0" w:line="135"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50</w:t>
              </w:r>
            </w:hyperlink>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Master Separation and Distribution Agreement, dated June 22, 2010, by and among Vishay Intertechnology, Inc. and Vishay Precision Group, Inc. Incorporated by</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80" w:type="dxa"/>
            <w:vAlign w:val="bottom"/>
            <w:gridSpan w:val="7"/>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220" w:type="dxa"/>
            <w:vAlign w:val="bottom"/>
            <w:gridSpan w:val="11"/>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gridSpan w:val="3"/>
            <w:vMerge w:val="restart"/>
          </w:tcPr>
          <w:p>
            <w:pPr>
              <w:ind w:left="700"/>
              <w:spacing w:after="0"/>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51</w:t>
              </w:r>
            </w:hyperlink>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40" w:type="dxa"/>
            <w:vAlign w:val="bottom"/>
            <w:gridSpan w:val="25"/>
          </w:tcPr>
          <w:p>
            <w:pPr>
              <w:spacing w:after="0" w:line="142"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reference to Exhibit 10.1 to our current report on Form 8-K filed June 23, 2010.</w:t>
              </w:r>
            </w:hyperlink>
          </w:p>
        </w:tc>
        <w:tc>
          <w:tcPr>
            <w:tcW w:w="20" w:type="dxa"/>
            <w:vAlign w:val="bottom"/>
            <w:vMerge w:val="continue"/>
          </w:tcPr>
          <w:p>
            <w:pPr>
              <w:spacing w:after="0"/>
              <w:rPr>
                <w:sz w:val="12"/>
                <w:szCs w:val="12"/>
                <w:color w:val="auto"/>
              </w:rPr>
            </w:pPr>
          </w:p>
        </w:tc>
        <w:tc>
          <w:tcPr>
            <w:tcW w:w="160" w:type="dxa"/>
            <w:vAlign w:val="bottom"/>
            <w:gridSpan w:val="8"/>
            <w:vMerge w:val="continue"/>
          </w:tcPr>
          <w:p>
            <w:pPr>
              <w:spacing w:after="0"/>
              <w:rPr>
                <w:sz w:val="12"/>
                <w:szCs w:val="12"/>
                <w:color w:val="auto"/>
              </w:rPr>
            </w:pPr>
          </w:p>
        </w:tc>
        <w:tc>
          <w:tcPr>
            <w:tcW w:w="220" w:type="dxa"/>
            <w:vAlign w:val="bottom"/>
            <w:gridSpan w:val="11"/>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0" w:type="dxa"/>
            <w:vAlign w:val="bottom"/>
            <w:tcBorders>
              <w:top w:val="single" w:sz="8" w:color="0000EE"/>
            </w:tcBorders>
            <w:gridSpan w:val="13"/>
          </w:tcPr>
          <w:p>
            <w:pPr>
              <w:spacing w:after="0" w:line="142"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Employee Matters Agreement, dated June 22, 2010, by and among Vishay</w:t>
              </w:r>
            </w:hyperlink>
          </w:p>
        </w:tc>
        <w:tc>
          <w:tcPr>
            <w:tcW w:w="5280" w:type="dxa"/>
            <w:vAlign w:val="bottom"/>
            <w:gridSpan w:val="34"/>
          </w:tcPr>
          <w:p>
            <w:pPr>
              <w:spacing w:after="0" w:line="142"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Intertechnology, Inc. and Vishay Precision Group, Inc. Incorporated by reference to</w:t>
              </w:r>
            </w:hyperlink>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20" w:type="dxa"/>
            <w:vAlign w:val="bottom"/>
            <w:tcBorders>
              <w:top w:val="single" w:sz="8" w:color="0000EE"/>
            </w:tcBorders>
            <w:gridSpan w:val="34"/>
          </w:tcPr>
          <w:p>
            <w:pPr>
              <w:spacing w:after="0" w:line="142"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Exhibit 10.2 to our current report on Form 8-K filed June 23, 2010.</w:t>
              </w:r>
            </w:hyperlink>
          </w:p>
        </w:tc>
        <w:tc>
          <w:tcPr>
            <w:tcW w:w="220" w:type="dxa"/>
            <w:vAlign w:val="bottom"/>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080" w:type="dxa"/>
            <w:vAlign w:val="bottom"/>
            <w:gridSpan w:val="3"/>
            <w:shd w:val="clear" w:color="auto" w:fill="CCEEFF"/>
          </w:tcPr>
          <w:p>
            <w:pPr>
              <w:ind w:left="700"/>
              <w:spacing w:after="0" w:line="135"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52</w:t>
              </w:r>
            </w:hyperlink>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Tax Matters Agreement, dated July 6, 2010, between Vishay Precision Group, Inc. and Vishay Intertechnology, Inc. Incorporated by reference to Exhibit 10.1 to</w:t>
              </w:r>
            </w:hyperlink>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EE"/>
            </w:tcBorders>
            <w:gridSpan w:val="45"/>
            <w:shd w:val="clear" w:color="auto" w:fill="CCEEFF"/>
          </w:tcPr>
          <w:p>
            <w:pPr>
              <w:spacing w:after="0" w:line="142"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Vishay Precision Group, Inc.’s current report on Form 8-K filed July 7, 2010.</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080" w:type="dxa"/>
            <w:vAlign w:val="bottom"/>
            <w:gridSpan w:val="3"/>
          </w:tcPr>
          <w:p>
            <w:pPr>
              <w:ind w:left="700"/>
              <w:spacing w:after="0" w:line="135" w:lineRule="exact"/>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53</w:t>
              </w:r>
            </w:hyperlink>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Trademark License Agreement, dated July 6, 2010, between Vishay Precision Group, Inc. and Vishay Intertechnology, Inc. Incorporated by reference to Exhibit</w:t>
              </w:r>
            </w:hyperlink>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900" w:type="dxa"/>
            <w:vAlign w:val="bottom"/>
            <w:tcBorders>
              <w:top w:val="single" w:sz="8" w:color="0000EE"/>
              <w:bottom w:val="single" w:sz="8" w:color="0000EE"/>
            </w:tcBorders>
            <w:gridSpan w:val="15"/>
          </w:tcPr>
          <w:p>
            <w:pPr>
              <w:spacing w:after="0" w:line="122" w:lineRule="exact"/>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to Vishay Precision Group, Inc.’s current report on Form 8-K filed July 7, 2010.</w:t>
              </w:r>
            </w:hyperlink>
          </w:p>
        </w:tc>
        <w:tc>
          <w:tcPr>
            <w:tcW w:w="4560" w:type="dxa"/>
            <w:vAlign w:val="bottom"/>
            <w:tcBorders>
              <w:top w:val="single" w:sz="8" w:color="0000EE"/>
            </w:tcBorders>
            <w:gridSpan w:val="11"/>
          </w:tcPr>
          <w:p>
            <w:pPr>
              <w:spacing w:after="0"/>
              <w:rPr>
                <w:sz w:val="11"/>
                <w:szCs w:val="11"/>
                <w:color w:val="auto"/>
              </w:rPr>
            </w:pPr>
          </w:p>
        </w:tc>
        <w:tc>
          <w:tcPr>
            <w:tcW w:w="42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gridSpan w:val="4"/>
            <w:shd w:val="clear" w:color="auto" w:fill="CCEEFF"/>
          </w:tcPr>
          <w:p>
            <w:pPr>
              <w:ind w:left="700"/>
              <w:spacing w:after="0" w:line="135"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54*</w:t>
              </w:r>
            </w:hyperlink>
          </w:p>
        </w:tc>
        <w:tc>
          <w:tcPr>
            <w:tcW w:w="660" w:type="dxa"/>
            <w:vAlign w:val="bottom"/>
            <w:shd w:val="clear" w:color="auto" w:fill="CCEEFF"/>
          </w:tcPr>
          <w:p>
            <w:pPr>
              <w:spacing w:after="0"/>
              <w:rPr>
                <w:sz w:val="11"/>
                <w:szCs w:val="11"/>
                <w:color w:val="auto"/>
              </w:rPr>
            </w:pPr>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Supply Agreement, dated July 6, 2010, between Vishay Advanced Technology, Ltd. And Vishay Dale Electronics, Inc. Incorporated by reference to Exhibit 10.4</w:t>
              </w:r>
            </w:hyperlink>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4620" w:type="dxa"/>
            <w:vAlign w:val="bottom"/>
            <w:tcBorders>
              <w:top w:val="single" w:sz="8" w:color="0000EE"/>
              <w:bottom w:val="single" w:sz="8" w:color="0000EE"/>
            </w:tcBorders>
            <w:gridSpan w:val="14"/>
            <w:shd w:val="clear" w:color="auto" w:fill="CCEEFF"/>
          </w:tcPr>
          <w:p>
            <w:pPr>
              <w:spacing w:after="0" w:line="142"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to Vishay Precision Group, Inc.’s current report on Form 8-K filed July 7, 2010.</w:t>
              </w:r>
            </w:hyperlink>
          </w:p>
        </w:tc>
        <w:tc>
          <w:tcPr>
            <w:tcW w:w="4780" w:type="dxa"/>
            <w:vAlign w:val="bottom"/>
            <w:tcBorders>
              <w:top w:val="single" w:sz="8" w:color="0000EE"/>
              <w:bottom w:val="single" w:sz="8" w:color="CCEEFF"/>
            </w:tcBorders>
            <w:gridSpan w:val="9"/>
            <w:shd w:val="clear" w:color="auto" w:fill="CCEEFF"/>
          </w:tcPr>
          <w:p>
            <w:pPr>
              <w:spacing w:after="0"/>
              <w:rPr>
                <w:sz w:val="12"/>
                <w:szCs w:val="12"/>
                <w:color w:val="auto"/>
              </w:rPr>
            </w:pPr>
          </w:p>
        </w:tc>
        <w:tc>
          <w:tcPr>
            <w:tcW w:w="480" w:type="dxa"/>
            <w:vAlign w:val="bottom"/>
            <w:tcBorders>
              <w:top w:val="single" w:sz="8" w:color="CCEEFF"/>
              <w:bottom w:val="single" w:sz="8" w:color="CCEEFF"/>
            </w:tcBorders>
            <w:gridSpan w:val="2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gridSpan w:val="4"/>
          </w:tcPr>
          <w:p>
            <w:pPr>
              <w:ind w:left="700"/>
              <w:spacing w:after="0" w:line="135"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55*</w:t>
              </w:r>
            </w:hyperlink>
          </w:p>
        </w:tc>
        <w:tc>
          <w:tcPr>
            <w:tcW w:w="660" w:type="dxa"/>
            <w:vAlign w:val="bottom"/>
          </w:tcPr>
          <w:p>
            <w:pPr>
              <w:spacing w:after="0"/>
              <w:rPr>
                <w:sz w:val="11"/>
                <w:szCs w:val="11"/>
                <w:color w:val="auto"/>
              </w:rPr>
            </w:pPr>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Patent License Agreement, dated July 6, 2010, between Vishay Precision Group, Inc. and Vishay Dale Electronics, Inc. Incorporated by reference to Exhibit 10.6</w:t>
              </w:r>
            </w:hyperlink>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20" w:type="dxa"/>
            <w:vAlign w:val="bottom"/>
            <w:tcBorders>
              <w:top w:val="single" w:sz="8" w:color="0000EE"/>
              <w:bottom w:val="single" w:sz="8" w:color="0000EE"/>
            </w:tcBorders>
            <w:gridSpan w:val="14"/>
          </w:tcPr>
          <w:p>
            <w:pPr>
              <w:spacing w:after="0" w:line="142"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to Vishay Precision Group, Inc.’s current report on Form 8-K filed July 7, 2010.</w:t>
              </w:r>
            </w:hyperlink>
          </w:p>
        </w:tc>
        <w:tc>
          <w:tcPr>
            <w:tcW w:w="5040" w:type="dxa"/>
            <w:vAlign w:val="bottom"/>
            <w:tcBorders>
              <w:top w:val="single" w:sz="8" w:color="0000EE"/>
            </w:tcBorders>
            <w:gridSpan w:val="22"/>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gridSpan w:val="4"/>
            <w:shd w:val="clear" w:color="auto" w:fill="CCEEFF"/>
          </w:tcPr>
          <w:p>
            <w:pPr>
              <w:ind w:left="700"/>
              <w:spacing w:after="0" w:line="135"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56*</w:t>
              </w:r>
            </w:hyperlink>
          </w:p>
        </w:tc>
        <w:tc>
          <w:tcPr>
            <w:tcW w:w="660" w:type="dxa"/>
            <w:vAlign w:val="bottom"/>
            <w:shd w:val="clear" w:color="auto" w:fill="CCEEFF"/>
          </w:tcPr>
          <w:p>
            <w:pPr>
              <w:spacing w:after="0"/>
              <w:rPr>
                <w:sz w:val="11"/>
                <w:szCs w:val="11"/>
                <w:color w:val="auto"/>
              </w:rPr>
            </w:pPr>
          </w:p>
        </w:tc>
        <w:tc>
          <w:tcPr>
            <w:tcW w:w="9880" w:type="dxa"/>
            <w:vAlign w:val="bottom"/>
            <w:gridSpan w:val="47"/>
            <w:shd w:val="clear" w:color="auto" w:fill="CCEEFF"/>
          </w:tcPr>
          <w:p>
            <w:pPr>
              <w:spacing w:after="0" w:line="135"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Supply Agreement, dated July 6, 2010, between Vishay Dale Electronics, Inc. and Vishay Advanced Technology, Ltd. Incorporated by reference to Exhibit 10.8 to</w:t>
              </w:r>
            </w:hyperlink>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9380" w:type="dxa"/>
            <w:vAlign w:val="bottom"/>
            <w:tcBorders>
              <w:top w:val="single" w:sz="8" w:color="0000EE"/>
            </w:tcBorders>
            <w:gridSpan w:val="22"/>
            <w:shd w:val="clear" w:color="auto" w:fill="CCEEFF"/>
          </w:tcPr>
          <w:p>
            <w:pPr>
              <w:spacing w:after="0" w:line="142"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Vishay Precision Group, Inc.’s current report on Form 8-K filed July 7, 2010.</w:t>
              </w:r>
            </w:hyperlink>
          </w:p>
        </w:tc>
        <w:tc>
          <w:tcPr>
            <w:tcW w:w="500" w:type="dxa"/>
            <w:vAlign w:val="bottom"/>
            <w:tcBorders>
              <w:top w:val="single" w:sz="8" w:color="CCEEFF"/>
            </w:tcBorders>
            <w:gridSpan w:val="2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40" w:type="dxa"/>
            <w:vAlign w:val="bottom"/>
            <w:gridSpan w:val="4"/>
          </w:tcPr>
          <w:p>
            <w:pPr>
              <w:ind w:left="700"/>
              <w:spacing w:after="0" w:line="135"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57*</w:t>
              </w:r>
            </w:hyperlink>
          </w:p>
        </w:tc>
        <w:tc>
          <w:tcPr>
            <w:tcW w:w="660" w:type="dxa"/>
            <w:vAlign w:val="bottom"/>
          </w:tcPr>
          <w:p>
            <w:pPr>
              <w:spacing w:after="0"/>
              <w:rPr>
                <w:sz w:val="11"/>
                <w:szCs w:val="11"/>
                <w:color w:val="auto"/>
              </w:rPr>
            </w:pPr>
          </w:p>
        </w:tc>
        <w:tc>
          <w:tcPr>
            <w:tcW w:w="9880" w:type="dxa"/>
            <w:vAlign w:val="bottom"/>
            <w:gridSpan w:val="47"/>
          </w:tcPr>
          <w:p>
            <w:pPr>
              <w:spacing w:after="0" w:line="135"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Supply Agreement, dated July 6, 2010, between Vishay Measurements Group, Inc. and Vishay S.A. Incorporated by reference to Exhibit 10.9 to Vishay Precision</w:t>
              </w:r>
            </w:hyperlink>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60" w:type="dxa"/>
            <w:vAlign w:val="bottom"/>
            <w:tcBorders>
              <w:top w:val="single" w:sz="8" w:color="0000EE"/>
              <w:bottom w:val="single" w:sz="8" w:color="0000EE"/>
            </w:tcBorders>
            <w:gridSpan w:val="7"/>
          </w:tcPr>
          <w:p>
            <w:pPr>
              <w:spacing w:after="0" w:line="142"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Group, Inc.’s current report on Form 8-K filed July 7, 2010.</w:t>
              </w:r>
            </w:hyperlink>
          </w:p>
        </w:tc>
        <w:tc>
          <w:tcPr>
            <w:tcW w:w="5980" w:type="dxa"/>
            <w:vAlign w:val="bottom"/>
            <w:tcBorders>
              <w:top w:val="single" w:sz="8" w:color="0000EE"/>
            </w:tcBorders>
            <w:gridSpan w:val="18"/>
          </w:tcPr>
          <w:p>
            <w:pPr>
              <w:spacing w:after="0"/>
              <w:rPr>
                <w:sz w:val="12"/>
                <w:szCs w:val="12"/>
                <w:color w:val="auto"/>
              </w:rPr>
            </w:pPr>
          </w:p>
        </w:tc>
        <w:tc>
          <w:tcPr>
            <w:tcW w:w="440" w:type="dxa"/>
            <w:vAlign w:val="bottom"/>
            <w:gridSpan w:val="22"/>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80" w:type="dxa"/>
            <w:vAlign w:val="bottom"/>
            <w:gridSpan w:val="10"/>
          </w:tcPr>
          <w:p>
            <w:pPr>
              <w:ind w:left="3680"/>
              <w:spacing w:after="0"/>
              <w:rPr>
                <w:sz w:val="20"/>
                <w:szCs w:val="20"/>
                <w:color w:val="auto"/>
              </w:rPr>
            </w:pPr>
            <w:r>
              <w:rPr>
                <w:rFonts w:ascii="Times New Roman" w:cs="Times New Roman" w:eastAsia="Times New Roman" w:hAnsi="Times New Roman"/>
                <w:sz w:val="12"/>
                <w:szCs w:val="12"/>
                <w:color w:val="auto"/>
              </w:rPr>
              <w:t>67</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7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402" w:right="299" w:bottom="1440" w:gutter="0" w:footer="0" w:header="0"/>
        </w:sectPr>
      </w:pPr>
    </w:p>
    <w:bookmarkStart w:id="66" w:name="page67"/>
    <w:bookmarkEnd w:id="66"/>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920" w:type="dxa"/>
            <w:vAlign w:val="bottom"/>
            <w:gridSpan w:val="4"/>
            <w:shd w:val="clear" w:color="auto" w:fill="CCEEFF"/>
          </w:tcPr>
          <w:p>
            <w:pPr>
              <w:ind w:left="680"/>
              <w:spacing w:after="0"/>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58*</w:t>
              </w:r>
            </w:hyperlink>
          </w:p>
        </w:tc>
        <w:tc>
          <w:tcPr>
            <w:tcW w:w="9660" w:type="dxa"/>
            <w:vAlign w:val="bottom"/>
            <w:gridSpan w:val="38"/>
            <w:shd w:val="clear" w:color="auto" w:fill="CCEEFF"/>
          </w:tcPr>
          <w:p>
            <w:pPr>
              <w:spacing w:after="0"/>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Manufacturing Agreement, dated July 6, 2010, between Vishay S.A. and Vishay Precision Foil GmbH. Incorporated by reference to Exhibit 10.10 to Vishay</w:t>
              </w:r>
            </w:hyperlink>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0000EE"/>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4020" w:type="dxa"/>
            <w:vAlign w:val="bottom"/>
            <w:tcBorders>
              <w:top w:val="single" w:sz="8" w:color="0000EE"/>
              <w:bottom w:val="single" w:sz="8" w:color="0000EE"/>
            </w:tcBorders>
            <w:gridSpan w:val="10"/>
            <w:shd w:val="clear" w:color="auto" w:fill="CCEEFF"/>
          </w:tcPr>
          <w:p>
            <w:pPr>
              <w:spacing w:after="0" w:line="142"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Precision Group, Inc.’s current report on Form 8-K filed July 7, 2010.</w:t>
              </w:r>
            </w:hyperlink>
          </w:p>
        </w:tc>
        <w:tc>
          <w:tcPr>
            <w:tcW w:w="5480" w:type="dxa"/>
            <w:vAlign w:val="bottom"/>
            <w:tcBorders>
              <w:top w:val="single" w:sz="8" w:color="0000EE"/>
              <w:bottom w:val="single" w:sz="8" w:color="CCEEFF"/>
            </w:tcBorders>
            <w:gridSpan w:val="2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1080" w:type="dxa"/>
            <w:vAlign w:val="bottom"/>
            <w:gridSpan w:val="3"/>
          </w:tcPr>
          <w:p>
            <w:pPr>
              <w:ind w:left="680"/>
              <w:spacing w:after="0" w:line="135"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59</w:t>
              </w:r>
            </w:hyperlink>
          </w:p>
        </w:tc>
        <w:tc>
          <w:tcPr>
            <w:tcW w:w="840" w:type="dxa"/>
            <w:vAlign w:val="bottom"/>
          </w:tcPr>
          <w:p>
            <w:pPr>
              <w:spacing w:after="0"/>
              <w:rPr>
                <w:sz w:val="11"/>
                <w:szCs w:val="11"/>
                <w:color w:val="auto"/>
              </w:rPr>
            </w:pPr>
          </w:p>
        </w:tc>
        <w:tc>
          <w:tcPr>
            <w:tcW w:w="9660" w:type="dxa"/>
            <w:vAlign w:val="bottom"/>
            <w:gridSpan w:val="38"/>
          </w:tcPr>
          <w:p>
            <w:pPr>
              <w:spacing w:after="0" w:line="135"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Intellectual Property License Agreement, dated July 6, 2010, between Vishay S.A. and Vishay Precision Foil GmbH. Incorporated by reference to Exhibit 10.11 to</w:t>
              </w:r>
            </w:hyperlink>
          </w:p>
        </w:tc>
      </w:tr>
      <w:tr>
        <w:trPr>
          <w:trHeight w:val="149"/>
        </w:trPr>
        <w:tc>
          <w:tcPr>
            <w:tcW w:w="68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tcBorders>
              <w:top w:val="single" w:sz="8" w:color="0000EE"/>
              <w:bottom w:val="single" w:sz="8" w:color="0000EE"/>
            </w:tcBorders>
            <w:gridSpan w:val="11"/>
          </w:tcPr>
          <w:p>
            <w:pPr>
              <w:spacing w:after="0" w:line="142"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Vishay Precision Group, Inc.’s current report on Form 8-K filed July 7, 2010.</w:t>
              </w:r>
            </w:hyperlink>
          </w:p>
        </w:tc>
        <w:tc>
          <w:tcPr>
            <w:tcW w:w="4980" w:type="dxa"/>
            <w:vAlign w:val="bottom"/>
            <w:tcBorders>
              <w:top w:val="single" w:sz="8" w:color="0000EE"/>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1920" w:type="dxa"/>
            <w:vAlign w:val="bottom"/>
            <w:gridSpan w:val="4"/>
            <w:shd w:val="clear" w:color="auto" w:fill="CCEEFF"/>
          </w:tcPr>
          <w:p>
            <w:pPr>
              <w:ind w:left="680"/>
              <w:spacing w:after="0" w:line="135"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60*</w:t>
              </w:r>
            </w:hyperlink>
          </w:p>
        </w:tc>
        <w:tc>
          <w:tcPr>
            <w:tcW w:w="9660" w:type="dxa"/>
            <w:vAlign w:val="bottom"/>
            <w:gridSpan w:val="38"/>
            <w:shd w:val="clear" w:color="auto" w:fill="CCEEFF"/>
          </w:tcPr>
          <w:p>
            <w:pPr>
              <w:spacing w:after="0" w:line="135"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Supply Agreement, dated July 6, 2010, between Vishay Precision Foil GmbH and Vishay S.A. Incorporated by reference to Exhibit 10.12 to Vishay Precision</w:t>
              </w:r>
            </w:hyperlink>
          </w:p>
        </w:tc>
      </w:tr>
      <w:tr>
        <w:trPr>
          <w:trHeight w:val="142"/>
        </w:trPr>
        <w:tc>
          <w:tcPr>
            <w:tcW w:w="6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right w:val="single" w:sz="8" w:color="CCEEFF"/>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9480" w:type="dxa"/>
            <w:vAlign w:val="bottom"/>
            <w:tcBorders>
              <w:top w:val="single" w:sz="8" w:color="0000EE"/>
            </w:tcBorders>
            <w:gridSpan w:val="29"/>
            <w:shd w:val="clear" w:color="auto" w:fill="CCEEFF"/>
          </w:tcPr>
          <w:p>
            <w:pPr>
              <w:spacing w:after="0" w:line="142"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Group, Inc.’s current report on Form 8-K filed July 7, 2010.</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7"/>
        </w:trPr>
        <w:tc>
          <w:tcPr>
            <w:tcW w:w="6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CCEEFF"/>
            </w:tcBorders>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920" w:type="dxa"/>
            <w:vAlign w:val="bottom"/>
            <w:gridSpan w:val="4"/>
          </w:tcPr>
          <w:p>
            <w:pPr>
              <w:ind w:left="680"/>
              <w:spacing w:after="0" w:line="135"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61*</w:t>
              </w:r>
            </w:hyperlink>
          </w:p>
        </w:tc>
        <w:tc>
          <w:tcPr>
            <w:tcW w:w="9660" w:type="dxa"/>
            <w:vAlign w:val="bottom"/>
            <w:gridSpan w:val="38"/>
          </w:tcPr>
          <w:p>
            <w:pPr>
              <w:spacing w:after="0" w:line="135"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Intellectual Property License Agreement, dated July 6, 2010, between Vishay S.A. and Vishay Measurements Group, Inc. Incorporated by reference to Exhibit</w:t>
              </w:r>
            </w:hyperlink>
          </w:p>
        </w:tc>
      </w:tr>
      <w:tr>
        <w:trPr>
          <w:trHeight w:val="142"/>
        </w:trPr>
        <w:tc>
          <w:tcPr>
            <w:tcW w:w="68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9400" w:type="dxa"/>
            <w:vAlign w:val="bottom"/>
            <w:tcBorders>
              <w:top w:val="single" w:sz="8" w:color="0000EE"/>
            </w:tcBorders>
            <w:gridSpan w:val="25"/>
          </w:tcPr>
          <w:p>
            <w:pPr>
              <w:spacing w:after="0" w:line="142"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0000EE"/>
                </w:rPr>
                <w:t xml:space="preserve"> to Vishay Precision Group, Inc.’s current report on Form 8-K filed July 7, 2010.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080" w:type="dxa"/>
            <w:vAlign w:val="bottom"/>
            <w:gridSpan w:val="3"/>
            <w:shd w:val="clear" w:color="auto" w:fill="CCEEFF"/>
          </w:tcPr>
          <w:p>
            <w:pPr>
              <w:ind w:left="680"/>
              <w:spacing w:after="0" w:line="135"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62</w:t>
              </w:r>
            </w:hyperlink>
          </w:p>
        </w:tc>
        <w:tc>
          <w:tcPr>
            <w:tcW w:w="840" w:type="dxa"/>
            <w:vAlign w:val="bottom"/>
            <w:shd w:val="clear" w:color="auto" w:fill="CCEEFF"/>
          </w:tcPr>
          <w:p>
            <w:pPr>
              <w:spacing w:after="0"/>
              <w:rPr>
                <w:sz w:val="11"/>
                <w:szCs w:val="11"/>
                <w:color w:val="auto"/>
              </w:rPr>
            </w:pPr>
          </w:p>
        </w:tc>
        <w:tc>
          <w:tcPr>
            <w:tcW w:w="9660" w:type="dxa"/>
            <w:vAlign w:val="bottom"/>
            <w:gridSpan w:val="38"/>
            <w:shd w:val="clear" w:color="auto" w:fill="CCEEFF"/>
          </w:tcPr>
          <w:p>
            <w:pPr>
              <w:spacing w:after="0" w:line="135"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Credit Agreement, dated as of June 5, 2019, among Vishay Intertechnology, Inc. and JPMorgan Chase Bank, N.A., as administrative agent and the lenders and</w:t>
              </w:r>
            </w:hyperlink>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6700" w:type="dxa"/>
            <w:vAlign w:val="bottom"/>
            <w:tcBorders>
              <w:top w:val="single" w:sz="8" w:color="0000EE"/>
              <w:bottom w:val="single" w:sz="8" w:color="0000EE"/>
            </w:tcBorders>
            <w:gridSpan w:val="13"/>
            <w:shd w:val="clear" w:color="auto" w:fill="CCEEFF"/>
          </w:tcPr>
          <w:p>
            <w:pPr>
              <w:spacing w:after="0" w:line="142"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other parties thereto. Incorporated by reference to Exhibit 10.1 to our current report on Form 8-K filed June 5, 2019.</w:t>
              </w:r>
            </w:hyperlink>
          </w:p>
        </w:tc>
        <w:tc>
          <w:tcPr>
            <w:tcW w:w="2760" w:type="dxa"/>
            <w:vAlign w:val="bottom"/>
            <w:tcBorders>
              <w:top w:val="single" w:sz="8" w:color="0000EE"/>
              <w:bottom w:val="single" w:sz="8" w:color="CCEEFF"/>
            </w:tcBorders>
            <w:gridSpan w:val="15"/>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55"/>
        </w:trPr>
        <w:tc>
          <w:tcPr>
            <w:tcW w:w="1080" w:type="dxa"/>
            <w:vAlign w:val="bottom"/>
            <w:gridSpan w:val="3"/>
          </w:tcPr>
          <w:p>
            <w:pPr>
              <w:ind w:left="680"/>
              <w:spacing w:after="0" w:line="135"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63</w:t>
              </w:r>
            </w:hyperlink>
          </w:p>
        </w:tc>
        <w:tc>
          <w:tcPr>
            <w:tcW w:w="840" w:type="dxa"/>
            <w:vAlign w:val="bottom"/>
          </w:tcPr>
          <w:p>
            <w:pPr>
              <w:spacing w:after="0"/>
              <w:rPr>
                <w:sz w:val="13"/>
                <w:szCs w:val="13"/>
                <w:color w:val="auto"/>
              </w:rPr>
            </w:pPr>
          </w:p>
        </w:tc>
        <w:tc>
          <w:tcPr>
            <w:tcW w:w="9660" w:type="dxa"/>
            <w:vAlign w:val="bottom"/>
            <w:gridSpan w:val="38"/>
          </w:tcPr>
          <w:p>
            <w:pPr>
              <w:spacing w:after="0" w:line="135"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Amendment No. 1 to Credit Agreement, dated as of September 20, 2019, among Vishay Intertechnology, Inc. and JPMorgan Chase Bank, N.A., as administrative</w:t>
              </w:r>
            </w:hyperlink>
          </w:p>
        </w:tc>
      </w:tr>
      <w:tr>
        <w:trPr>
          <w:trHeight w:val="122"/>
        </w:trPr>
        <w:tc>
          <w:tcPr>
            <w:tcW w:w="68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0" w:type="dxa"/>
            <w:vAlign w:val="bottom"/>
            <w:tcBorders>
              <w:top w:val="single" w:sz="8" w:color="0000EE"/>
              <w:bottom w:val="single" w:sz="8" w:color="0000EE"/>
            </w:tcBorders>
            <w:gridSpan w:val="35"/>
          </w:tcPr>
          <w:p>
            <w:pPr>
              <w:spacing w:after="0" w:line="122"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agent and the lenders and other parties thereto. Incorporated by reference to Exhibit 10.1 to our quarterly report on Form 10-Q for the fiscal quarter ended</w:t>
              </w:r>
            </w:hyperlink>
          </w:p>
        </w:tc>
        <w:tc>
          <w:tcPr>
            <w:tcW w:w="20" w:type="dxa"/>
            <w:vAlign w:val="bottom"/>
            <w:tcBorders>
              <w:bottom w:val="single" w:sz="8" w:color="0000EE"/>
            </w:tcBorders>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40" w:type="dxa"/>
            <w:vAlign w:val="bottom"/>
            <w:gridSpan w:val="37"/>
          </w:tcPr>
          <w:p>
            <w:pPr>
              <w:spacing w:after="0" w:line="142"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September 28, 2019.</w:t>
              </w:r>
            </w:hyperlink>
          </w:p>
        </w:tc>
        <w:tc>
          <w:tcPr>
            <w:tcW w:w="20" w:type="dxa"/>
            <w:vAlign w:val="bottom"/>
          </w:tcPr>
          <w:p>
            <w:pPr>
              <w:spacing w:after="0"/>
              <w:rPr>
                <w:sz w:val="12"/>
                <w:szCs w:val="12"/>
                <w:color w:val="auto"/>
              </w:rPr>
            </w:pPr>
          </w:p>
        </w:tc>
      </w:tr>
      <w:tr>
        <w:trPr>
          <w:trHeight w:val="27"/>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080" w:type="dxa"/>
            <w:vAlign w:val="bottom"/>
            <w:gridSpan w:val="3"/>
            <w:shd w:val="clear" w:color="auto" w:fill="CCEEFF"/>
          </w:tcPr>
          <w:p>
            <w:pPr>
              <w:ind w:left="680"/>
              <w:spacing w:after="0" w:line="135" w:lineRule="exact"/>
              <w:rPr>
                <w:rFonts w:ascii="Times New Roman" w:cs="Times New Roman" w:eastAsia="Times New Roman" w:hAnsi="Times New Roman"/>
                <w:sz w:val="14"/>
                <w:szCs w:val="14"/>
                <w:color w:val="0000EE"/>
              </w:rPr>
            </w:pPr>
            <w:hyperlink r:id="rId14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64</w:t>
              </w:r>
            </w:hyperlink>
          </w:p>
        </w:tc>
        <w:tc>
          <w:tcPr>
            <w:tcW w:w="840" w:type="dxa"/>
            <w:vAlign w:val="bottom"/>
            <w:shd w:val="clear" w:color="auto" w:fill="CCEEFF"/>
          </w:tcPr>
          <w:p>
            <w:pPr>
              <w:spacing w:after="0"/>
              <w:rPr>
                <w:sz w:val="11"/>
                <w:szCs w:val="11"/>
                <w:color w:val="auto"/>
              </w:rPr>
            </w:pPr>
          </w:p>
        </w:tc>
        <w:tc>
          <w:tcPr>
            <w:tcW w:w="9660" w:type="dxa"/>
            <w:vAlign w:val="bottom"/>
            <w:gridSpan w:val="38"/>
            <w:shd w:val="clear" w:color="auto" w:fill="CCEEFF"/>
          </w:tcPr>
          <w:p>
            <w:pPr>
              <w:spacing w:after="0" w:line="135" w:lineRule="exact"/>
              <w:rPr>
                <w:rFonts w:ascii="Times New Roman" w:cs="Times New Roman" w:eastAsia="Times New Roman" w:hAnsi="Times New Roman"/>
                <w:sz w:val="14"/>
                <w:szCs w:val="14"/>
                <w:color w:val="0000EE"/>
              </w:rPr>
            </w:pPr>
            <w:hyperlink r:id="rId144">
              <w:r>
                <w:rPr>
                  <w:rFonts w:ascii="Times New Roman" w:cs="Times New Roman" w:eastAsia="Times New Roman" w:hAnsi="Times New Roman"/>
                  <w:sz w:val="14"/>
                  <w:szCs w:val="14"/>
                  <w:color w:val="0000EE"/>
                </w:rPr>
                <w:t>Amendment and Restatement Agreement, dated as of May 8, 2023 among Vishay Intertechnology, Inc. and JPMorgan Chase Bank, N.A., as administrative agent,</w:t>
              </w:r>
            </w:hyperlink>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7920" w:type="dxa"/>
            <w:vAlign w:val="bottom"/>
            <w:tcBorders>
              <w:top w:val="single" w:sz="8" w:color="0000EE"/>
              <w:bottom w:val="single" w:sz="8" w:color="0000EE"/>
            </w:tcBorders>
            <w:gridSpan w:val="16"/>
            <w:shd w:val="clear" w:color="auto" w:fill="CCEEFF"/>
          </w:tcPr>
          <w:p>
            <w:pPr>
              <w:spacing w:after="0" w:line="142" w:lineRule="exact"/>
              <w:rPr>
                <w:rFonts w:ascii="Times New Roman" w:cs="Times New Roman" w:eastAsia="Times New Roman" w:hAnsi="Times New Roman"/>
                <w:sz w:val="14"/>
                <w:szCs w:val="14"/>
                <w:color w:val="0000EE"/>
              </w:rPr>
            </w:pPr>
            <w:hyperlink r:id="rId144">
              <w:r>
                <w:rPr>
                  <w:rFonts w:ascii="Times New Roman" w:cs="Times New Roman" w:eastAsia="Times New Roman" w:hAnsi="Times New Roman"/>
                  <w:sz w:val="14"/>
                  <w:szCs w:val="14"/>
                  <w:color w:val="0000EE"/>
                </w:rPr>
                <w:t>and the lenders and other parties thereto. Incorporated by reference to Exhibit 10.1 to our current report on Form 8-K, filed May 8, 2023.</w:t>
              </w:r>
            </w:hyperlink>
          </w:p>
        </w:tc>
        <w:tc>
          <w:tcPr>
            <w:tcW w:w="1600" w:type="dxa"/>
            <w:vAlign w:val="bottom"/>
            <w:tcBorders>
              <w:top w:val="single" w:sz="8" w:color="0000EE"/>
              <w:bottom w:val="single" w:sz="8" w:color="CCEEFF"/>
            </w:tcBorders>
            <w:gridSpan w:val="15"/>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55"/>
        </w:trPr>
        <w:tc>
          <w:tcPr>
            <w:tcW w:w="1080" w:type="dxa"/>
            <w:vAlign w:val="bottom"/>
            <w:gridSpan w:val="3"/>
          </w:tcPr>
          <w:p>
            <w:pPr>
              <w:ind w:left="680"/>
              <w:spacing w:after="0" w:line="135"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65</w:t>
              </w:r>
            </w:hyperlink>
          </w:p>
        </w:tc>
        <w:tc>
          <w:tcPr>
            <w:tcW w:w="840" w:type="dxa"/>
            <w:vAlign w:val="bottom"/>
          </w:tcPr>
          <w:p>
            <w:pPr>
              <w:spacing w:after="0"/>
              <w:rPr>
                <w:sz w:val="13"/>
                <w:szCs w:val="13"/>
                <w:color w:val="auto"/>
              </w:rPr>
            </w:pPr>
          </w:p>
        </w:tc>
        <w:tc>
          <w:tcPr>
            <w:tcW w:w="9660" w:type="dxa"/>
            <w:vAlign w:val="bottom"/>
            <w:gridSpan w:val="38"/>
          </w:tcPr>
          <w:p>
            <w:pPr>
              <w:spacing w:after="0" w:line="135"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First Amendment to the Amended and Restated Agreement, dated as of August 15, 2024, among Vishay Intertechnology, Inc. and JPMorgan Chase Bank, N.A., as</w:t>
              </w:r>
            </w:hyperlink>
          </w:p>
        </w:tc>
      </w:tr>
      <w:tr>
        <w:trPr>
          <w:trHeight w:val="129"/>
        </w:trPr>
        <w:tc>
          <w:tcPr>
            <w:tcW w:w="680" w:type="dxa"/>
            <w:vAlign w:val="bottom"/>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320" w:type="dxa"/>
            <w:vAlign w:val="bottom"/>
            <w:tcBorders>
              <w:top w:val="single" w:sz="8" w:color="0000EE"/>
              <w:bottom w:val="single" w:sz="8" w:color="0000EE"/>
            </w:tcBorders>
            <w:gridSpan w:val="22"/>
          </w:tcPr>
          <w:p>
            <w:pPr>
              <w:spacing w:after="0" w:line="122"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administrative agent, and the lenders and other parties thereto. Incorporated by reference to Exhibit 10.1 in our current report on Form 8-K filed August 15, 2024.</w:t>
              </w:r>
            </w:hyperlink>
          </w:p>
        </w:tc>
        <w:tc>
          <w:tcPr>
            <w:tcW w:w="300" w:type="dxa"/>
            <w:vAlign w:val="bottom"/>
            <w:tcBorders>
              <w:top w:val="single" w:sz="8" w:color="0000EE"/>
            </w:tcBorders>
            <w:gridSpan w:val="14"/>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5"/>
        </w:trPr>
        <w:tc>
          <w:tcPr>
            <w:tcW w:w="6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66†</w:t>
              </w:r>
            </w:hyperlink>
          </w:p>
        </w:tc>
        <w:tc>
          <w:tcPr>
            <w:tcW w:w="9660" w:type="dxa"/>
            <w:vAlign w:val="bottom"/>
            <w:gridSpan w:val="38"/>
            <w:shd w:val="clear" w:color="auto" w:fill="CCEEFF"/>
          </w:tcPr>
          <w:p>
            <w:pPr>
              <w:spacing w:after="0" w:line="135" w:lineRule="exact"/>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Vishay Intertechnology, Inc. Form of Executive Officer Restricted Stock Unit Agreement. Incorporated by reference to Exhibit 10.1 in our quarterly report on</w:t>
              </w:r>
            </w:hyperlink>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0000EE"/>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3080" w:type="dxa"/>
            <w:vAlign w:val="bottom"/>
            <w:tcBorders>
              <w:top w:val="single" w:sz="8" w:color="0000EE"/>
              <w:bottom w:val="single" w:sz="8" w:color="0000EE"/>
            </w:tcBorders>
            <w:gridSpan w:val="8"/>
            <w:shd w:val="clear" w:color="auto" w:fill="CCEEFF"/>
          </w:tcPr>
          <w:p>
            <w:pPr>
              <w:spacing w:after="0" w:line="142" w:lineRule="exact"/>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Form 10-Q for the fiscal quarter ended April 1, 2023.</w:t>
              </w:r>
            </w:hyperlink>
          </w:p>
        </w:tc>
        <w:tc>
          <w:tcPr>
            <w:tcW w:w="6340" w:type="dxa"/>
            <w:vAlign w:val="bottom"/>
            <w:tcBorders>
              <w:top w:val="single" w:sz="8" w:color="0000EE"/>
              <w:bottom w:val="single" w:sz="8" w:color="CCEEFF"/>
            </w:tcBorders>
            <w:gridSpan w:val="18"/>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6"/>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55"/>
        </w:trPr>
        <w:tc>
          <w:tcPr>
            <w:tcW w:w="680" w:type="dxa"/>
            <w:vAlign w:val="bottom"/>
          </w:tcPr>
          <w:p>
            <w:pPr>
              <w:spacing w:after="0"/>
              <w:rPr>
                <w:sz w:val="13"/>
                <w:szCs w:val="13"/>
                <w:color w:val="auto"/>
              </w:rPr>
            </w:pPr>
          </w:p>
        </w:tc>
        <w:tc>
          <w:tcPr>
            <w:tcW w:w="1240" w:type="dxa"/>
            <w:vAlign w:val="bottom"/>
            <w:gridSpan w:val="3"/>
          </w:tcPr>
          <w:p>
            <w:pPr>
              <w:spacing w:after="0" w:line="135"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67†</w:t>
              </w:r>
            </w:hyperlink>
          </w:p>
        </w:tc>
        <w:tc>
          <w:tcPr>
            <w:tcW w:w="9660" w:type="dxa"/>
            <w:vAlign w:val="bottom"/>
            <w:gridSpan w:val="38"/>
          </w:tcPr>
          <w:p>
            <w:pPr>
              <w:spacing w:after="0" w:line="135"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Vishay Intertechnology, Inc. Form of Non-Employee Director Restricted Stock Unit Agreement. Incorporated by reference to Exhibit 10.48 to our 2019 annual</w:t>
              </w:r>
            </w:hyperlink>
          </w:p>
        </w:tc>
      </w:tr>
      <w:tr>
        <w:trPr>
          <w:trHeight w:val="129"/>
        </w:trPr>
        <w:tc>
          <w:tcPr>
            <w:tcW w:w="680" w:type="dxa"/>
            <w:vAlign w:val="bottom"/>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Borders>
              <w:top w:val="single" w:sz="8" w:color="0000EE"/>
              <w:bottom w:val="single" w:sz="8" w:color="0000EE"/>
            </w:tcBorders>
            <w:gridSpan w:val="3"/>
          </w:tcPr>
          <w:p>
            <w:pPr>
              <w:spacing w:after="0" w:line="122"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report on Form 10-K.</w:t>
              </w:r>
            </w:hyperlink>
          </w:p>
        </w:tc>
        <w:tc>
          <w:tcPr>
            <w:tcW w:w="8120" w:type="dxa"/>
            <w:vAlign w:val="bottom"/>
            <w:tcBorders>
              <w:top w:val="single" w:sz="8" w:color="0000EE"/>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35"/>
        </w:trPr>
        <w:tc>
          <w:tcPr>
            <w:tcW w:w="6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68†</w:t>
              </w:r>
            </w:hyperlink>
          </w:p>
        </w:tc>
        <w:tc>
          <w:tcPr>
            <w:tcW w:w="9660" w:type="dxa"/>
            <w:vAlign w:val="bottom"/>
            <w:gridSpan w:val="38"/>
            <w:shd w:val="clear" w:color="auto" w:fill="CCEEFF"/>
          </w:tcPr>
          <w:p>
            <w:pPr>
              <w:spacing w:after="0" w:line="135" w:lineRule="exact"/>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Vishay Intertechnology, Inc. Form of Executive Officer Phantom Stock Unit Agreement. Incorporated by reference to Exhibit 10.50 to our 2019 annual report on</w:t>
              </w:r>
            </w:hyperlink>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0000EE"/>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0000EE"/>
              <w:bottom w:val="single" w:sz="8" w:color="0000EE"/>
            </w:tcBorders>
            <w:shd w:val="clear" w:color="auto" w:fill="CCEEFF"/>
          </w:tcPr>
          <w:p>
            <w:pPr>
              <w:spacing w:after="0" w:line="142" w:lineRule="exact"/>
              <w:rPr>
                <w:rFonts w:ascii="Times New Roman" w:cs="Times New Roman" w:eastAsia="Times New Roman" w:hAnsi="Times New Roman"/>
                <w:sz w:val="14"/>
                <w:szCs w:val="14"/>
                <w:color w:val="0000EE"/>
                <w:w w:val="99"/>
              </w:rPr>
            </w:pPr>
            <w:hyperlink r:id="rId148">
              <w:r>
                <w:rPr>
                  <w:rFonts w:ascii="Times New Roman" w:cs="Times New Roman" w:eastAsia="Times New Roman" w:hAnsi="Times New Roman"/>
                  <w:sz w:val="14"/>
                  <w:szCs w:val="14"/>
                  <w:color w:val="0000EE"/>
                  <w:w w:val="99"/>
                </w:rPr>
                <w:t>Form 10-K.</w:t>
              </w:r>
            </w:hyperlink>
          </w:p>
        </w:tc>
        <w:tc>
          <w:tcPr>
            <w:tcW w:w="8700" w:type="dxa"/>
            <w:vAlign w:val="bottom"/>
            <w:tcBorders>
              <w:top w:val="single" w:sz="8" w:color="0000EE"/>
              <w:bottom w:val="single" w:sz="8" w:color="CCEEFF"/>
            </w:tcBorders>
            <w:gridSpan w:val="23"/>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8"/>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35"/>
        </w:trPr>
        <w:tc>
          <w:tcPr>
            <w:tcW w:w="680" w:type="dxa"/>
            <w:vAlign w:val="bottom"/>
          </w:tcPr>
          <w:p>
            <w:pPr>
              <w:spacing w:after="0"/>
              <w:rPr>
                <w:sz w:val="11"/>
                <w:szCs w:val="11"/>
                <w:color w:val="auto"/>
              </w:rPr>
            </w:pPr>
          </w:p>
        </w:tc>
        <w:tc>
          <w:tcPr>
            <w:tcW w:w="400" w:type="dxa"/>
            <w:vAlign w:val="bottom"/>
            <w:gridSpan w:val="2"/>
          </w:tcPr>
          <w:p>
            <w:pPr>
              <w:spacing w:after="0" w:line="135" w:lineRule="exact"/>
              <w:rPr>
                <w:rFonts w:ascii="Times New Roman" w:cs="Times New Roman" w:eastAsia="Times New Roman" w:hAnsi="Times New Roman"/>
                <w:sz w:val="14"/>
                <w:szCs w:val="14"/>
                <w:color w:val="0000EE"/>
                <w:w w:val="98"/>
              </w:rPr>
            </w:pPr>
            <w:hyperlink r:id="rId149">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69†</w:t>
              </w:r>
            </w:hyperlink>
          </w:p>
        </w:tc>
        <w:tc>
          <w:tcPr>
            <w:tcW w:w="840" w:type="dxa"/>
            <w:vAlign w:val="bottom"/>
          </w:tcPr>
          <w:p>
            <w:pPr>
              <w:spacing w:after="0"/>
              <w:rPr>
                <w:sz w:val="11"/>
                <w:szCs w:val="11"/>
                <w:color w:val="auto"/>
              </w:rPr>
            </w:pPr>
          </w:p>
        </w:tc>
        <w:tc>
          <w:tcPr>
            <w:tcW w:w="9660" w:type="dxa"/>
            <w:vAlign w:val="bottom"/>
            <w:gridSpan w:val="38"/>
          </w:tcPr>
          <w:p>
            <w:pPr>
              <w:spacing w:after="0" w:line="135" w:lineRule="exact"/>
              <w:rPr>
                <w:rFonts w:ascii="Times New Roman" w:cs="Times New Roman" w:eastAsia="Times New Roman" w:hAnsi="Times New Roman"/>
                <w:sz w:val="14"/>
                <w:szCs w:val="14"/>
                <w:color w:val="0000EE"/>
              </w:rPr>
            </w:pPr>
            <w:hyperlink r:id="rId149">
              <w:r>
                <w:rPr>
                  <w:rFonts w:ascii="Times New Roman" w:cs="Times New Roman" w:eastAsia="Times New Roman" w:hAnsi="Times New Roman"/>
                  <w:sz w:val="14"/>
                  <w:szCs w:val="14"/>
                  <w:color w:val="0000EE"/>
                </w:rPr>
                <w:t>Vishay Intertechnology, Inc. Non-Employee Director Compensation Plan. Incorporated by reference to Exhibit 10.44 to our 2020 annual report on Form 10-K.</w:t>
              </w:r>
            </w:hyperlink>
          </w:p>
        </w:tc>
      </w:tr>
      <w:tr>
        <w:trPr>
          <w:trHeight w:val="27"/>
        </w:trPr>
        <w:tc>
          <w:tcPr>
            <w:tcW w:w="680" w:type="dxa"/>
            <w:vAlign w:val="bottom"/>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6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w w:val="98"/>
              </w:rPr>
            </w:pPr>
            <w:hyperlink r:id="rId150">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70†</w:t>
              </w:r>
            </w:hyperlink>
          </w:p>
        </w:tc>
        <w:tc>
          <w:tcPr>
            <w:tcW w:w="840" w:type="dxa"/>
            <w:vAlign w:val="bottom"/>
            <w:shd w:val="clear" w:color="auto" w:fill="CCEEFF"/>
          </w:tcPr>
          <w:p>
            <w:pPr>
              <w:spacing w:after="0"/>
              <w:rPr>
                <w:sz w:val="13"/>
                <w:szCs w:val="13"/>
                <w:color w:val="auto"/>
              </w:rPr>
            </w:pPr>
          </w:p>
        </w:tc>
        <w:tc>
          <w:tcPr>
            <w:tcW w:w="9660" w:type="dxa"/>
            <w:vAlign w:val="bottom"/>
            <w:gridSpan w:val="38"/>
            <w:shd w:val="clear" w:color="auto" w:fill="CCEEFF"/>
          </w:tcPr>
          <w:p>
            <w:pPr>
              <w:spacing w:after="0" w:line="135"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Form of Future Deferred Remuneration Arrangement of Vishay Israel Ltd. (a wholly owned subsidiary of Vishay Intertechnology, Inc.).  Incorporated by</w:t>
              </w:r>
            </w:hyperlink>
          </w:p>
        </w:tc>
      </w:tr>
      <w:tr>
        <w:trPr>
          <w:trHeight w:val="122"/>
        </w:trPr>
        <w:tc>
          <w:tcPr>
            <w:tcW w:w="6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EE"/>
              <w:right w:val="single" w:sz="8" w:color="CCEEFF"/>
            </w:tcBorders>
            <w:shd w:val="clear" w:color="auto" w:fill="CCEEFF"/>
          </w:tcPr>
          <w:p>
            <w:pPr>
              <w:spacing w:after="0"/>
              <w:rPr>
                <w:sz w:val="10"/>
                <w:szCs w:val="10"/>
                <w:color w:val="auto"/>
              </w:rPr>
            </w:pPr>
          </w:p>
        </w:tc>
        <w:tc>
          <w:tcPr>
            <w:tcW w:w="80" w:type="dxa"/>
            <w:vAlign w:val="bottom"/>
            <w:tcBorders>
              <w:top w:val="single" w:sz="8" w:color="0000EE"/>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9560" w:type="dxa"/>
            <w:vAlign w:val="bottom"/>
            <w:tcBorders>
              <w:top w:val="single" w:sz="8" w:color="0000EE"/>
            </w:tcBorders>
            <w:gridSpan w:val="33"/>
            <w:shd w:val="clear" w:color="auto" w:fill="CCEEFF"/>
          </w:tcPr>
          <w:p>
            <w:pPr>
              <w:spacing w:after="0" w:line="122"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reference to Exhibit 10.1 to our current report on Form 8-K filed December 28, 2021.</w:t>
              </w:r>
            </w:hyperlink>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gridSpan w:val="4"/>
            <w:shd w:val="clear" w:color="auto" w:fill="CCEEFF"/>
          </w:tcPr>
          <w:p>
            <w:pPr>
              <w:spacing w:after="0"/>
              <w:rPr>
                <w:sz w:val="10"/>
                <w:szCs w:val="10"/>
                <w:color w:val="auto"/>
              </w:rPr>
            </w:pPr>
          </w:p>
        </w:tc>
      </w:tr>
      <w:tr>
        <w:trPr>
          <w:trHeight w:val="27"/>
        </w:trPr>
        <w:tc>
          <w:tcPr>
            <w:tcW w:w="6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CCEEFF"/>
            </w:tcBorders>
            <w:shd w:val="clear" w:color="auto" w:fill="0000EE"/>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080" w:type="dxa"/>
            <w:vAlign w:val="bottom"/>
            <w:gridSpan w:val="3"/>
          </w:tcPr>
          <w:p>
            <w:pPr>
              <w:ind w:left="680"/>
              <w:spacing w:after="0" w:line="135" w:lineRule="exact"/>
              <w:rPr>
                <w:rFonts w:ascii="Times New Roman" w:cs="Times New Roman" w:eastAsia="Times New Roman" w:hAnsi="Times New Roman"/>
                <w:sz w:val="14"/>
                <w:szCs w:val="14"/>
                <w:color w:val="0000EE"/>
              </w:rPr>
            </w:pPr>
            <w:hyperlink r:id="rId15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71</w:t>
              </w:r>
            </w:hyperlink>
          </w:p>
        </w:tc>
        <w:tc>
          <w:tcPr>
            <w:tcW w:w="840" w:type="dxa"/>
            <w:vAlign w:val="bottom"/>
          </w:tcPr>
          <w:p>
            <w:pPr>
              <w:spacing w:after="0"/>
              <w:rPr>
                <w:sz w:val="11"/>
                <w:szCs w:val="11"/>
                <w:color w:val="auto"/>
              </w:rPr>
            </w:pPr>
          </w:p>
        </w:tc>
        <w:tc>
          <w:tcPr>
            <w:tcW w:w="9660" w:type="dxa"/>
            <w:vAlign w:val="bottom"/>
            <w:gridSpan w:val="38"/>
          </w:tcPr>
          <w:p>
            <w:pPr>
              <w:spacing w:after="0" w:line="135" w:lineRule="exact"/>
              <w:rPr>
                <w:rFonts w:ascii="Times New Roman" w:cs="Times New Roman" w:eastAsia="Times New Roman" w:hAnsi="Times New Roman"/>
                <w:sz w:val="14"/>
                <w:szCs w:val="14"/>
                <w:color w:val="0000EE"/>
              </w:rPr>
            </w:pPr>
            <w:hyperlink r:id="rId151">
              <w:r>
                <w:rPr>
                  <w:rFonts w:ascii="Times New Roman" w:cs="Times New Roman" w:eastAsia="Times New Roman" w:hAnsi="Times New Roman"/>
                  <w:sz w:val="14"/>
                  <w:szCs w:val="14"/>
                  <w:color w:val="0000EE"/>
                </w:rPr>
                <w:t>Form of Base Capped Call Confirmation. Incorporated by reference to Exhibit 10.1 in our current report on Form 8-K filed September 12, 2023.</w:t>
              </w:r>
            </w:hyperlink>
          </w:p>
        </w:tc>
      </w:tr>
      <w:tr>
        <w:trPr>
          <w:trHeight w:val="27"/>
        </w:trPr>
        <w:tc>
          <w:tcPr>
            <w:tcW w:w="680" w:type="dxa"/>
            <w:vAlign w:val="bottom"/>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080" w:type="dxa"/>
            <w:vAlign w:val="bottom"/>
            <w:gridSpan w:val="3"/>
            <w:shd w:val="clear" w:color="auto" w:fill="CCEEFF"/>
          </w:tcPr>
          <w:p>
            <w:pPr>
              <w:ind w:left="680"/>
              <w:spacing w:after="0" w:line="135" w:lineRule="exact"/>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72</w:t>
              </w:r>
            </w:hyperlink>
          </w:p>
        </w:tc>
        <w:tc>
          <w:tcPr>
            <w:tcW w:w="840" w:type="dxa"/>
            <w:vAlign w:val="bottom"/>
            <w:shd w:val="clear" w:color="auto" w:fill="CCEEFF"/>
          </w:tcPr>
          <w:p>
            <w:pPr>
              <w:spacing w:after="0"/>
              <w:rPr>
                <w:sz w:val="11"/>
                <w:szCs w:val="11"/>
                <w:color w:val="auto"/>
              </w:rPr>
            </w:pPr>
          </w:p>
        </w:tc>
        <w:tc>
          <w:tcPr>
            <w:tcW w:w="9660" w:type="dxa"/>
            <w:vAlign w:val="bottom"/>
            <w:gridSpan w:val="38"/>
            <w:shd w:val="clear" w:color="auto" w:fill="CCEEFF"/>
          </w:tcPr>
          <w:p>
            <w:pPr>
              <w:spacing w:after="0" w:line="135" w:lineRule="exact"/>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Form of Additional Capped Call Confirmation. Incorporated by reference to Exhibit 10.2 in our current report on Form 8-K filed September 12, 2023.</w:t>
              </w:r>
            </w:hyperlink>
          </w:p>
        </w:tc>
      </w:tr>
      <w:tr>
        <w:trPr>
          <w:trHeight w:val="27"/>
        </w:trPr>
        <w:tc>
          <w:tcPr>
            <w:tcW w:w="680" w:type="dxa"/>
            <w:vAlign w:val="bottom"/>
            <w:shd w:val="clear" w:color="auto" w:fill="CCEEFF"/>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2"/>
        </w:trPr>
        <w:tc>
          <w:tcPr>
            <w:tcW w:w="68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35" w:lineRule="exact"/>
              <w:rPr>
                <w:rFonts w:ascii="Times New Roman" w:cs="Times New Roman" w:eastAsia="Times New Roman" w:hAnsi="Times New Roman"/>
                <w:sz w:val="14"/>
                <w:szCs w:val="14"/>
                <w:color w:val="0000EE"/>
                <w:w w:val="98"/>
              </w:rPr>
            </w:pPr>
            <w:hyperlink r:id="rId153">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73†</w:t>
              </w:r>
            </w:hyperlink>
          </w:p>
        </w:tc>
        <w:tc>
          <w:tcPr>
            <w:tcW w:w="840" w:type="dxa"/>
            <w:vAlign w:val="bottom"/>
          </w:tcPr>
          <w:p>
            <w:pPr>
              <w:spacing w:after="0"/>
              <w:rPr>
                <w:sz w:val="12"/>
                <w:szCs w:val="12"/>
                <w:color w:val="auto"/>
              </w:rPr>
            </w:pPr>
          </w:p>
        </w:tc>
        <w:tc>
          <w:tcPr>
            <w:tcW w:w="7400" w:type="dxa"/>
            <w:vAlign w:val="bottom"/>
            <w:tcBorders>
              <w:bottom w:val="single" w:sz="8" w:color="0000EE"/>
            </w:tcBorders>
            <w:gridSpan w:val="14"/>
          </w:tcPr>
          <w:p>
            <w:pPr>
              <w:spacing w:after="0" w:line="135" w:lineRule="exact"/>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Form of Phantom Stock Award Agreement. Incorporated by reference to Exhibit 10.66 to our 2023 annual report on Form 10-K.</w:t>
              </w:r>
            </w:hyperlink>
          </w:p>
        </w:tc>
        <w:tc>
          <w:tcPr>
            <w:tcW w:w="2260" w:type="dxa"/>
            <w:vAlign w:val="bottom"/>
            <w:gridSpan w:val="24"/>
          </w:tcPr>
          <w:p>
            <w:pPr>
              <w:spacing w:after="0"/>
              <w:rPr>
                <w:sz w:val="12"/>
                <w:szCs w:val="12"/>
                <w:color w:val="auto"/>
              </w:rPr>
            </w:pPr>
          </w:p>
        </w:tc>
      </w:tr>
      <w:tr>
        <w:trPr>
          <w:trHeight w:val="142"/>
        </w:trPr>
        <w:tc>
          <w:tcPr>
            <w:tcW w:w="6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0000EE"/>
            </w:tcBorders>
            <w:gridSpan w:val="2"/>
            <w:shd w:val="clear" w:color="auto" w:fill="CCEEFF"/>
          </w:tcPr>
          <w:p>
            <w:pPr>
              <w:spacing w:after="0" w:line="135" w:lineRule="exact"/>
              <w:rPr>
                <w:rFonts w:ascii="Times New Roman" w:cs="Times New Roman" w:eastAsia="Times New Roman" w:hAnsi="Times New Roman"/>
                <w:sz w:val="14"/>
                <w:szCs w:val="14"/>
                <w:color w:val="0000EE"/>
                <w:w w:val="98"/>
              </w:rPr>
            </w:pPr>
            <w:hyperlink r:id="rId154">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74†</w:t>
              </w:r>
            </w:hyperlink>
          </w:p>
        </w:tc>
        <w:tc>
          <w:tcPr>
            <w:tcW w:w="840" w:type="dxa"/>
            <w:vAlign w:val="bottom"/>
            <w:tcBorders>
              <w:bottom w:val="single" w:sz="8" w:color="CCEEFF"/>
            </w:tcBorders>
            <w:shd w:val="clear" w:color="auto" w:fill="CCEEFF"/>
          </w:tcPr>
          <w:p>
            <w:pPr>
              <w:spacing w:after="0"/>
              <w:rPr>
                <w:sz w:val="12"/>
                <w:szCs w:val="12"/>
                <w:color w:val="auto"/>
              </w:rPr>
            </w:pPr>
          </w:p>
        </w:tc>
        <w:tc>
          <w:tcPr>
            <w:tcW w:w="7820" w:type="dxa"/>
            <w:vAlign w:val="bottom"/>
            <w:tcBorders>
              <w:bottom w:val="single" w:sz="8" w:color="0000EE"/>
            </w:tcBorders>
            <w:gridSpan w:val="15"/>
            <w:shd w:val="clear" w:color="auto" w:fill="CCEEFF"/>
          </w:tcPr>
          <w:p>
            <w:pPr>
              <w:spacing w:after="0" w:line="135" w:lineRule="exact"/>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Form of Non-Employee Director RSU Agreement. Incorporated by reference to Exhibit 10.67 to our 2023 annual report on Form 10-K.</w:t>
              </w:r>
            </w:hyperlink>
          </w:p>
        </w:tc>
        <w:tc>
          <w:tcPr>
            <w:tcW w:w="1840" w:type="dxa"/>
            <w:vAlign w:val="bottom"/>
            <w:tcBorders>
              <w:bottom w:val="single" w:sz="8" w:color="CCEEFF"/>
            </w:tcBorders>
            <w:gridSpan w:val="23"/>
            <w:shd w:val="clear" w:color="auto" w:fill="CCEEFF"/>
          </w:tcPr>
          <w:p>
            <w:pPr>
              <w:spacing w:after="0"/>
              <w:rPr>
                <w:sz w:val="12"/>
                <w:szCs w:val="12"/>
                <w:color w:val="auto"/>
              </w:rPr>
            </w:pPr>
          </w:p>
        </w:tc>
      </w:tr>
      <w:tr>
        <w:trPr>
          <w:trHeight w:val="155"/>
        </w:trPr>
        <w:tc>
          <w:tcPr>
            <w:tcW w:w="680" w:type="dxa"/>
            <w:vAlign w:val="bottom"/>
          </w:tcPr>
          <w:p>
            <w:pPr>
              <w:spacing w:after="0"/>
              <w:rPr>
                <w:sz w:val="13"/>
                <w:szCs w:val="13"/>
                <w:color w:val="auto"/>
              </w:rPr>
            </w:pPr>
          </w:p>
        </w:tc>
        <w:tc>
          <w:tcPr>
            <w:tcW w:w="1240" w:type="dxa"/>
            <w:vAlign w:val="bottom"/>
            <w:gridSpan w:val="3"/>
          </w:tcPr>
          <w:p>
            <w:pPr>
              <w:spacing w:after="0" w:line="135"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75†</w:t>
              </w:r>
            </w:hyperlink>
          </w:p>
        </w:tc>
        <w:tc>
          <w:tcPr>
            <w:tcW w:w="9660" w:type="dxa"/>
            <w:vAlign w:val="bottom"/>
            <w:gridSpan w:val="38"/>
          </w:tcPr>
          <w:p>
            <w:pPr>
              <w:spacing w:after="0" w:line="135"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Form of Executive Officer Restricted Stock Unit Agreement. Incorporated by reference to Exhibit 10.7 in our quarterly report on Form 10-Q for the fiscal quarter</w:t>
              </w:r>
            </w:hyperlink>
          </w:p>
        </w:tc>
      </w:tr>
      <w:tr>
        <w:trPr>
          <w:trHeight w:val="122"/>
        </w:trPr>
        <w:tc>
          <w:tcPr>
            <w:tcW w:w="68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40" w:type="dxa"/>
            <w:vAlign w:val="bottom"/>
          </w:tcPr>
          <w:p>
            <w:pPr>
              <w:spacing w:after="0"/>
              <w:rPr>
                <w:sz w:val="10"/>
                <w:szCs w:val="10"/>
                <w:color w:val="auto"/>
              </w:rPr>
            </w:pPr>
          </w:p>
        </w:tc>
        <w:tc>
          <w:tcPr>
            <w:tcW w:w="9600" w:type="dxa"/>
            <w:vAlign w:val="bottom"/>
            <w:tcBorders>
              <w:top w:val="single" w:sz="8" w:color="0000EE"/>
            </w:tcBorders>
            <w:gridSpan w:val="35"/>
          </w:tcPr>
          <w:p>
            <w:pPr>
              <w:spacing w:after="0" w:line="122"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ended March 30, 2024.</w:t>
              </w:r>
            </w:hyperlink>
          </w:p>
        </w:tc>
        <w:tc>
          <w:tcPr>
            <w:tcW w:w="60" w:type="dxa"/>
            <w:vAlign w:val="bottom"/>
            <w:gridSpan w:val="3"/>
          </w:tcPr>
          <w:p>
            <w:pPr>
              <w:spacing w:after="0"/>
              <w:rPr>
                <w:sz w:val="10"/>
                <w:szCs w:val="10"/>
                <w:color w:val="auto"/>
              </w:rPr>
            </w:pPr>
          </w:p>
        </w:tc>
      </w:tr>
      <w:tr>
        <w:trPr>
          <w:trHeight w:val="27"/>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6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76†</w:t>
              </w:r>
            </w:hyperlink>
          </w:p>
        </w:tc>
        <w:tc>
          <w:tcPr>
            <w:tcW w:w="9660" w:type="dxa"/>
            <w:vAlign w:val="bottom"/>
            <w:gridSpan w:val="38"/>
            <w:shd w:val="clear" w:color="auto" w:fill="CCEEFF"/>
          </w:tcPr>
          <w:p>
            <w:pPr>
              <w:spacing w:after="0" w:line="135"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Form of Performance-Based Restricted Stock Unit Agreement. Incorporated by reference to Exhibit 10.8 in our quarterly report on Form 10-Q for the fiscal</w:t>
              </w:r>
            </w:hyperlink>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0000EE"/>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780" w:type="dxa"/>
            <w:vAlign w:val="bottom"/>
            <w:tcBorders>
              <w:top w:val="single" w:sz="8" w:color="0000EE"/>
              <w:bottom w:val="single" w:sz="8" w:color="0000EE"/>
              <w:right w:val="single" w:sz="8" w:color="CCEEFF"/>
            </w:tcBorders>
            <w:gridSpan w:val="5"/>
            <w:shd w:val="clear" w:color="auto" w:fill="CCEEFF"/>
          </w:tcPr>
          <w:p>
            <w:pPr>
              <w:spacing w:after="0" w:line="142"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quarter ended March 30, 2024.</w:t>
              </w:r>
            </w:hyperlink>
          </w:p>
        </w:tc>
        <w:tc>
          <w:tcPr>
            <w:tcW w:w="7800" w:type="dxa"/>
            <w:vAlign w:val="bottom"/>
            <w:tcBorders>
              <w:top w:val="single" w:sz="8" w:color="0000EE"/>
              <w:bottom w:val="single" w:sz="8" w:color="CCEEFF"/>
            </w:tcBorders>
            <w:gridSpan w:val="29"/>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35"/>
        </w:trPr>
        <w:tc>
          <w:tcPr>
            <w:tcW w:w="1920" w:type="dxa"/>
            <w:vAlign w:val="bottom"/>
            <w:gridSpan w:val="4"/>
          </w:tcPr>
          <w:p>
            <w:pPr>
              <w:ind w:left="680"/>
              <w:spacing w:after="0" w:line="135" w:lineRule="exact"/>
              <w:rPr>
                <w:sz w:val="20"/>
                <w:szCs w:val="20"/>
                <w:color w:val="auto"/>
              </w:rPr>
            </w:pPr>
            <w:r>
              <w:rPr>
                <w:rFonts w:ascii="Times New Roman" w:cs="Times New Roman" w:eastAsia="Times New Roman" w:hAnsi="Times New Roman"/>
                <w:sz w:val="14"/>
                <w:szCs w:val="14"/>
                <w:color w:val="0000EE"/>
              </w:rPr>
              <w:t>19.</w:t>
            </w:r>
            <w:r>
              <w:rPr>
                <w:rFonts w:ascii="Times New Roman" w:cs="Times New Roman" w:eastAsia="Times New Roman" w:hAnsi="Times New Roman"/>
                <w:sz w:val="14"/>
                <w:szCs w:val="14"/>
                <w:u w:val="single" w:color="auto"/>
                <w:color w:val="0000EE"/>
              </w:rPr>
              <w:t>1**</w:t>
            </w:r>
          </w:p>
        </w:tc>
        <w:tc>
          <w:tcPr>
            <w:tcW w:w="9660" w:type="dxa"/>
            <w:vAlign w:val="bottom"/>
            <w:gridSpan w:val="38"/>
          </w:tcPr>
          <w:p>
            <w:pPr>
              <w:spacing w:after="0" w:line="135" w:lineRule="exact"/>
              <w:rPr>
                <w:sz w:val="20"/>
                <w:szCs w:val="20"/>
                <w:color w:val="auto"/>
              </w:rPr>
            </w:pPr>
            <w:r>
              <w:rPr>
                <w:rFonts w:ascii="Times New Roman" w:cs="Times New Roman" w:eastAsia="Times New Roman" w:hAnsi="Times New Roman"/>
                <w:sz w:val="14"/>
                <w:szCs w:val="14"/>
                <w:color w:val="0000EE"/>
              </w:rPr>
              <w:t>Vishay Intertechnology, Inc. Securities Trading Compliance Program.</w:t>
            </w:r>
          </w:p>
        </w:tc>
      </w:tr>
      <w:tr>
        <w:trPr>
          <w:trHeight w:val="27"/>
        </w:trPr>
        <w:tc>
          <w:tcPr>
            <w:tcW w:w="680" w:type="dxa"/>
            <w:vAlign w:val="bottom"/>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000" w:type="dxa"/>
            <w:vAlign w:val="bottom"/>
            <w:tcBorders>
              <w:right w:val="single" w:sz="8" w:color="CCEEFF"/>
            </w:tcBorders>
            <w:gridSpan w:val="2"/>
            <w:shd w:val="clear" w:color="auto" w:fill="CCEEFF"/>
          </w:tcPr>
          <w:p>
            <w:pPr>
              <w:ind w:left="680"/>
              <w:spacing w:after="0" w:line="135" w:lineRule="exact"/>
              <w:rPr>
                <w:sz w:val="20"/>
                <w:szCs w:val="20"/>
                <w:color w:val="auto"/>
              </w:rPr>
            </w:pPr>
            <w:r>
              <w:rPr>
                <w:rFonts w:ascii="Times New Roman" w:cs="Times New Roman" w:eastAsia="Times New Roman" w:hAnsi="Times New Roman"/>
                <w:sz w:val="14"/>
                <w:szCs w:val="14"/>
                <w:color w:val="0000EE"/>
                <w:w w:val="99"/>
              </w:rPr>
              <w:t>21**</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60" w:type="dxa"/>
            <w:vAlign w:val="bottom"/>
            <w:gridSpan w:val="3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Subsidiaries of the Registrant.</w:t>
            </w:r>
          </w:p>
        </w:tc>
      </w:tr>
      <w:tr>
        <w:trPr>
          <w:trHeight w:val="27"/>
        </w:trPr>
        <w:tc>
          <w:tcPr>
            <w:tcW w:w="680" w:type="dxa"/>
            <w:vAlign w:val="bottom"/>
            <w:shd w:val="clear" w:color="auto" w:fill="CCEEFF"/>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920" w:type="dxa"/>
            <w:vAlign w:val="bottom"/>
            <w:gridSpan w:val="4"/>
          </w:tcPr>
          <w:p>
            <w:pPr>
              <w:ind w:left="680"/>
              <w:spacing w:after="0" w:line="135" w:lineRule="exact"/>
              <w:rPr>
                <w:sz w:val="20"/>
                <w:szCs w:val="20"/>
                <w:color w:val="auto"/>
              </w:rPr>
            </w:pPr>
            <w:r>
              <w:rPr>
                <w:rFonts w:ascii="Times New Roman" w:cs="Times New Roman" w:eastAsia="Times New Roman" w:hAnsi="Times New Roman"/>
                <w:sz w:val="14"/>
                <w:szCs w:val="14"/>
                <w:color w:val="0000EE"/>
              </w:rPr>
              <w:t>23.</w:t>
            </w:r>
            <w:r>
              <w:rPr>
                <w:rFonts w:ascii="Times New Roman" w:cs="Times New Roman" w:eastAsia="Times New Roman" w:hAnsi="Times New Roman"/>
                <w:sz w:val="14"/>
                <w:szCs w:val="14"/>
                <w:u w:val="single" w:color="auto"/>
                <w:color w:val="0000EE"/>
              </w:rPr>
              <w:t>1**</w:t>
            </w:r>
          </w:p>
        </w:tc>
        <w:tc>
          <w:tcPr>
            <w:tcW w:w="9660" w:type="dxa"/>
            <w:vAlign w:val="bottom"/>
            <w:gridSpan w:val="38"/>
          </w:tcPr>
          <w:p>
            <w:pPr>
              <w:spacing w:after="0" w:line="135" w:lineRule="exact"/>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r>
      <w:tr>
        <w:trPr>
          <w:trHeight w:val="27"/>
        </w:trPr>
        <w:tc>
          <w:tcPr>
            <w:tcW w:w="680" w:type="dxa"/>
            <w:vAlign w:val="bottom"/>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920" w:type="dxa"/>
            <w:vAlign w:val="bottom"/>
            <w:gridSpan w:val="4"/>
            <w:shd w:val="clear" w:color="auto" w:fill="CCEEFF"/>
          </w:tcPr>
          <w:p>
            <w:pPr>
              <w:ind w:left="680"/>
              <w:spacing w:after="0" w:line="135" w:lineRule="exact"/>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1**</w:t>
            </w:r>
          </w:p>
        </w:tc>
        <w:tc>
          <w:tcPr>
            <w:tcW w:w="9660" w:type="dxa"/>
            <w:vAlign w:val="bottom"/>
            <w:gridSpan w:val="3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Rules 13a-15(e) or 15d-15(e) under the Securities Exchange Act of 1934, as adopted pursuant to Section 302 of the Sarbanes-Oxley Act</w:t>
            </w:r>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0000EE"/>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2000" w:type="dxa"/>
            <w:vAlign w:val="bottom"/>
            <w:tcBorders>
              <w:top w:val="single" w:sz="8" w:color="0000EE"/>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0000EE"/>
              </w:rPr>
              <w:t>of 2002 – Chief Executive Officer.</w:t>
            </w:r>
          </w:p>
        </w:tc>
        <w:tc>
          <w:tcPr>
            <w:tcW w:w="7540" w:type="dxa"/>
            <w:vAlign w:val="bottom"/>
            <w:tcBorders>
              <w:top w:val="single" w:sz="8" w:color="0000EE"/>
              <w:bottom w:val="single" w:sz="8" w:color="CCEEFF"/>
            </w:tcBorders>
            <w:gridSpan w:val="25"/>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6"/>
            <w:shd w:val="clear" w:color="auto" w:fill="CCEEFF"/>
          </w:tcPr>
          <w:p>
            <w:pPr>
              <w:spacing w:after="0"/>
              <w:rPr>
                <w:sz w:val="12"/>
                <w:szCs w:val="12"/>
                <w:color w:val="auto"/>
              </w:rPr>
            </w:pPr>
          </w:p>
        </w:tc>
      </w:tr>
      <w:tr>
        <w:trPr>
          <w:trHeight w:val="135"/>
        </w:trPr>
        <w:tc>
          <w:tcPr>
            <w:tcW w:w="1920" w:type="dxa"/>
            <w:vAlign w:val="bottom"/>
            <w:gridSpan w:val="4"/>
          </w:tcPr>
          <w:p>
            <w:pPr>
              <w:ind w:left="680"/>
              <w:spacing w:after="0" w:line="135" w:lineRule="exact"/>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2**</w:t>
            </w:r>
          </w:p>
        </w:tc>
        <w:tc>
          <w:tcPr>
            <w:tcW w:w="9660" w:type="dxa"/>
            <w:vAlign w:val="bottom"/>
            <w:gridSpan w:val="38"/>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Rules 13a-15(e) or 15d-15(e) under the Securities Exchange Act of 1934, as adopted pursuant to Section 302 of the Sarbanes-Oxley Act</w:t>
            </w:r>
          </w:p>
        </w:tc>
      </w:tr>
      <w:tr>
        <w:trPr>
          <w:trHeight w:val="149"/>
        </w:trPr>
        <w:tc>
          <w:tcPr>
            <w:tcW w:w="68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tcBorders>
              <w:top w:val="single" w:sz="8" w:color="0000EE"/>
              <w:bottom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4"/>
                <w:szCs w:val="14"/>
                <w:color w:val="0000EE"/>
              </w:rPr>
              <w:t>of 2002 – Chief Financial Officer.</w:t>
            </w:r>
          </w:p>
        </w:tc>
        <w:tc>
          <w:tcPr>
            <w:tcW w:w="7580" w:type="dxa"/>
            <w:vAlign w:val="bottom"/>
            <w:tcBorders>
              <w:top w:val="single" w:sz="8" w:color="0000EE"/>
            </w:tcBorders>
            <w:gridSpan w:val="26"/>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35"/>
        </w:trPr>
        <w:tc>
          <w:tcPr>
            <w:tcW w:w="1920" w:type="dxa"/>
            <w:vAlign w:val="bottom"/>
            <w:gridSpan w:val="4"/>
            <w:shd w:val="clear" w:color="auto" w:fill="CCEEFF"/>
          </w:tcPr>
          <w:p>
            <w:pPr>
              <w:ind w:left="680"/>
              <w:spacing w:after="0" w:line="135" w:lineRule="exact"/>
              <w:rPr>
                <w:sz w:val="20"/>
                <w:szCs w:val="20"/>
                <w:color w:val="auto"/>
              </w:rPr>
            </w:pP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u w:val="single" w:color="auto"/>
                <w:color w:val="0000EE"/>
              </w:rPr>
              <w:t>1**</w:t>
            </w:r>
          </w:p>
        </w:tc>
        <w:tc>
          <w:tcPr>
            <w:tcW w:w="9660" w:type="dxa"/>
            <w:vAlign w:val="bottom"/>
            <w:gridSpan w:val="3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18 U.S.C. Section 1350, as adopted pursuant to Section 906 of the Sarbanes-Oxley Act of 2002 – Chief Executive Officer.</w:t>
            </w:r>
          </w:p>
        </w:tc>
      </w:tr>
      <w:tr>
        <w:trPr>
          <w:trHeight w:val="27"/>
        </w:trPr>
        <w:tc>
          <w:tcPr>
            <w:tcW w:w="680" w:type="dxa"/>
            <w:vAlign w:val="bottom"/>
            <w:shd w:val="clear" w:color="auto" w:fill="CCEEFF"/>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920" w:type="dxa"/>
            <w:vAlign w:val="bottom"/>
            <w:gridSpan w:val="4"/>
          </w:tcPr>
          <w:p>
            <w:pPr>
              <w:ind w:left="680"/>
              <w:spacing w:after="0" w:line="135" w:lineRule="exact"/>
              <w:rPr>
                <w:sz w:val="20"/>
                <w:szCs w:val="20"/>
                <w:color w:val="auto"/>
              </w:rPr>
            </w:pP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u w:val="single" w:color="auto"/>
                <w:color w:val="0000EE"/>
              </w:rPr>
              <w:t>2**</w:t>
            </w:r>
          </w:p>
        </w:tc>
        <w:tc>
          <w:tcPr>
            <w:tcW w:w="9660" w:type="dxa"/>
            <w:vAlign w:val="bottom"/>
            <w:gridSpan w:val="38"/>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18 U.S.C. Section 1350, as adopted pursuant to Section 906 of the Sarbanes-Oxley Act of 2002 – Chief Financial Officer.</w:t>
            </w:r>
          </w:p>
        </w:tc>
      </w:tr>
      <w:tr>
        <w:trPr>
          <w:trHeight w:val="27"/>
        </w:trPr>
        <w:tc>
          <w:tcPr>
            <w:tcW w:w="680" w:type="dxa"/>
            <w:vAlign w:val="bottom"/>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000" w:type="dxa"/>
            <w:vAlign w:val="bottom"/>
            <w:tcBorders>
              <w:right w:val="single" w:sz="8" w:color="CCEEFF"/>
            </w:tcBorders>
            <w:gridSpan w:val="2"/>
            <w:shd w:val="clear" w:color="auto" w:fill="CCEEFF"/>
          </w:tcPr>
          <w:p>
            <w:pPr>
              <w:ind w:left="680"/>
              <w:spacing w:after="0" w:line="135" w:lineRule="exact"/>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97.</w:t>
              </w:r>
              <w:r>
                <w:rPr>
                  <w:rFonts w:ascii="Times New Roman" w:cs="Times New Roman" w:eastAsia="Times New Roman" w:hAnsi="Times New Roman"/>
                  <w:sz w:val="14"/>
                  <w:szCs w:val="14"/>
                  <w:u w:val="single" w:color="auto"/>
                  <w:color w:val="0000EE"/>
                </w:rPr>
                <w:t>1</w:t>
              </w:r>
            </w:hyperlink>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60" w:type="dxa"/>
            <w:vAlign w:val="bottom"/>
            <w:gridSpan w:val="38"/>
            <w:shd w:val="clear" w:color="auto" w:fill="CCEEFF"/>
          </w:tcPr>
          <w:p>
            <w:pPr>
              <w:spacing w:after="0" w:line="135" w:lineRule="exact"/>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Vishay Intertechnology, Inc. Dodd-Frank Clawback Policy. Incorporated by reference to Exhibit 97.1 in our 2023 annual report on Form 10-K.</w:t>
              </w:r>
            </w:hyperlink>
          </w:p>
        </w:tc>
      </w:tr>
      <w:tr>
        <w:trPr>
          <w:trHeight w:val="27"/>
        </w:trPr>
        <w:tc>
          <w:tcPr>
            <w:tcW w:w="6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4"/>
        </w:trPr>
        <w:tc>
          <w:tcPr>
            <w:tcW w:w="1080" w:type="dxa"/>
            <w:vAlign w:val="bottom"/>
            <w:gridSpan w:val="3"/>
          </w:tcPr>
          <w:p>
            <w:pPr>
              <w:ind w:left="680"/>
              <w:spacing w:after="0" w:line="144" w:lineRule="exact"/>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spacing w:after="0"/>
              <w:rPr>
                <w:sz w:val="12"/>
                <w:szCs w:val="12"/>
                <w:color w:val="auto"/>
              </w:rPr>
            </w:pPr>
          </w:p>
        </w:tc>
        <w:tc>
          <w:tcPr>
            <w:tcW w:w="9660" w:type="dxa"/>
            <w:vAlign w:val="bottom"/>
            <w:gridSpan w:val="38"/>
          </w:tcPr>
          <w:p>
            <w:pPr>
              <w:spacing w:after="0" w:line="144" w:lineRule="exact"/>
              <w:rPr>
                <w:sz w:val="20"/>
                <w:szCs w:val="20"/>
                <w:color w:val="auto"/>
              </w:rPr>
            </w:pPr>
            <w:r>
              <w:rPr>
                <w:rFonts w:ascii="Times New Roman" w:cs="Times New Roman" w:eastAsia="Times New Roman" w:hAnsi="Times New Roman"/>
                <w:sz w:val="14"/>
                <w:szCs w:val="14"/>
                <w:color w:val="auto"/>
              </w:rPr>
              <w:t>Interactive Data File (Annual Report on Form 10-K, for the year ended December 31, 2024, furnished in iXBRL (Inline eXtensible Business Reporting</w:t>
            </w:r>
          </w:p>
        </w:tc>
      </w:tr>
      <w:tr>
        <w:trPr>
          <w:trHeight w:val="162"/>
        </w:trPr>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60" w:type="dxa"/>
            <w:vAlign w:val="bottom"/>
            <w:gridSpan w:val="38"/>
          </w:tcPr>
          <w:p>
            <w:pPr>
              <w:spacing w:after="0"/>
              <w:rPr>
                <w:sz w:val="20"/>
                <w:szCs w:val="20"/>
                <w:color w:val="auto"/>
              </w:rPr>
            </w:pPr>
            <w:r>
              <w:rPr>
                <w:rFonts w:ascii="Times New Roman" w:cs="Times New Roman" w:eastAsia="Times New Roman" w:hAnsi="Times New Roman"/>
                <w:sz w:val="14"/>
                <w:szCs w:val="14"/>
                <w:color w:val="auto"/>
              </w:rPr>
              <w:t>Language)).</w:t>
            </w:r>
          </w:p>
        </w:tc>
      </w:tr>
      <w:tr>
        <w:trPr>
          <w:trHeight w:val="178"/>
        </w:trPr>
        <w:tc>
          <w:tcPr>
            <w:tcW w:w="108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104**</w:t>
            </w:r>
          </w:p>
        </w:tc>
        <w:tc>
          <w:tcPr>
            <w:tcW w:w="840" w:type="dxa"/>
            <w:vAlign w:val="bottom"/>
          </w:tcPr>
          <w:p>
            <w:pPr>
              <w:spacing w:after="0"/>
              <w:rPr>
                <w:sz w:val="15"/>
                <w:szCs w:val="15"/>
                <w:color w:val="auto"/>
              </w:rPr>
            </w:pPr>
          </w:p>
        </w:tc>
        <w:tc>
          <w:tcPr>
            <w:tcW w:w="9660" w:type="dxa"/>
            <w:vAlign w:val="bottom"/>
            <w:gridSpan w:val="38"/>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eXtensible Business Reporting Language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8" w:lineRule="exact"/>
        <w:rPr>
          <w:sz w:val="20"/>
          <w:szCs w:val="20"/>
          <w:color w:val="auto"/>
        </w:rPr>
      </w:pPr>
    </w:p>
    <w:p>
      <w:pPr>
        <w:ind w:left="8" w:right="840" w:hanging="8"/>
        <w:spacing w:after="0" w:line="259" w:lineRule="auto"/>
        <w:tabs>
          <w:tab w:leader="none" w:pos="9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treatment has been requested by, and accorded to, VPG with respect to certain portions of this Exhibit. Omitted portions have been filed separately by VPG with the Securities and Exchange Commission. ** Filed herewith.</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Denotes a management contract or compensatory plan, contract, or arrangement.</w:t>
      </w:r>
    </w:p>
    <w:p>
      <w:pPr>
        <w:spacing w:after="0" w:line="202" w:lineRule="exact"/>
        <w:rPr>
          <w:sz w:val="20"/>
          <w:szCs w:val="20"/>
          <w:color w:val="auto"/>
        </w:rPr>
      </w:pPr>
    </w:p>
    <w:p>
      <w:pPr>
        <w:ind w:left="8"/>
        <w:spacing w:after="0"/>
        <w:tabs>
          <w:tab w:leader="none" w:pos="1348" w:val="left"/>
        </w:tabs>
        <w:rPr>
          <w:sz w:val="20"/>
          <w:szCs w:val="20"/>
          <w:color w:val="auto"/>
        </w:rPr>
      </w:pPr>
      <w:r>
        <w:rPr>
          <w:rFonts w:ascii="Times New Roman" w:cs="Times New Roman" w:eastAsia="Times New Roman" w:hAnsi="Times New Roman"/>
          <w:sz w:val="14"/>
          <w:szCs w:val="14"/>
          <w:b w:val="1"/>
          <w:bCs w:val="1"/>
          <w:u w:val="single" w:color="auto"/>
          <w:color w:val="auto"/>
        </w:rPr>
        <w:t>Item 16.</w:t>
      </w:r>
      <w:r>
        <w:rPr>
          <w:sz w:val="20"/>
          <w:szCs w:val="20"/>
          <w:color w:val="auto"/>
        </w:rPr>
        <w:tab/>
      </w:r>
      <w:r>
        <w:rPr>
          <w:rFonts w:ascii="Times New Roman" w:cs="Times New Roman" w:eastAsia="Times New Roman" w:hAnsi="Times New Roman"/>
          <w:sz w:val="14"/>
          <w:szCs w:val="14"/>
          <w:b w:val="1"/>
          <w:bCs w:val="1"/>
          <w:u w:val="single" w:color="auto"/>
          <w:color w:val="auto"/>
        </w:rPr>
        <w:t>FORM 10-K SUMMARY</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Not applicable.</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02" w:right="2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SIGNATURES</w:t>
      </w:r>
    </w:p>
    <w:p>
      <w:pPr>
        <w:spacing w:after="0" w:line="1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Pursuant to the requirement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Joel Smejkal</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Joel Smejkal</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February 14, 2025</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7"/>
        </w:trPr>
        <w:tc>
          <w:tcPr>
            <w:tcW w:w="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r>
      <w:tr>
        <w:trPr>
          <w:trHeight w:val="162"/>
        </w:trPr>
        <w:tc>
          <w:tcPr>
            <w:tcW w:w="42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Executive Officer:</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4200" w:type="dxa"/>
            <w:vAlign w:val="bottom"/>
            <w:gridSpan w:val="15"/>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Joel Smejkal</w:t>
            </w:r>
          </w:p>
        </w:tc>
        <w:tc>
          <w:tcPr>
            <w:tcW w:w="4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President, Chief Executive Officer,</w:t>
            </w:r>
          </w:p>
        </w:tc>
        <w:tc>
          <w:tcPr>
            <w:tcW w:w="29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Joel Smejkal</w:t>
            </w:r>
          </w:p>
        </w:tc>
        <w:tc>
          <w:tcPr>
            <w:tcW w:w="3300" w:type="dxa"/>
            <w:vAlign w:val="bottom"/>
            <w:tcBorders>
              <w:top w:val="single" w:sz="8" w:color="CCEEFF"/>
            </w:tcBorders>
            <w:gridSpan w:val="12"/>
          </w:tcPr>
          <w:p>
            <w:pPr>
              <w:spacing w:after="0"/>
              <w:rPr>
                <w:sz w:val="14"/>
                <w:szCs w:val="14"/>
                <w:color w:val="auto"/>
              </w:rPr>
            </w:pPr>
          </w:p>
        </w:tc>
        <w:tc>
          <w:tcPr>
            <w:tcW w:w="41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and Director</w:t>
            </w:r>
          </w:p>
        </w:tc>
        <w:tc>
          <w:tcPr>
            <w:tcW w:w="28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62"/>
        </w:trPr>
        <w:tc>
          <w:tcPr>
            <w:tcW w:w="42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Financial Officer:</w:t>
            </w: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400" w:type="dxa"/>
            <w:vAlign w:val="bottom"/>
            <w:tcBorders>
              <w:bottom w:val="single" w:sz="8" w:color="auto"/>
            </w:tcBorders>
            <w:gridSpan w:val="14"/>
          </w:tcPr>
          <w:p>
            <w:pPr>
              <w:spacing w:after="0" w:line="135" w:lineRule="exact"/>
              <w:rPr>
                <w:sz w:val="20"/>
                <w:szCs w:val="20"/>
                <w:color w:val="auto"/>
              </w:rPr>
            </w:pPr>
            <w:r>
              <w:rPr>
                <w:rFonts w:ascii="Times New Roman" w:cs="Times New Roman" w:eastAsia="Times New Roman" w:hAnsi="Times New Roman"/>
                <w:sz w:val="14"/>
                <w:szCs w:val="14"/>
                <w:color w:val="auto"/>
              </w:rPr>
              <w:t>/s/ David E. McConnell</w:t>
            </w:r>
          </w:p>
        </w:tc>
        <w:tc>
          <w:tcPr>
            <w:tcW w:w="2800" w:type="dxa"/>
            <w:vAlign w:val="bottom"/>
          </w:tcPr>
          <w:p>
            <w:pPr>
              <w:spacing w:after="0"/>
              <w:rPr>
                <w:sz w:val="12"/>
                <w:szCs w:val="12"/>
                <w:color w:val="auto"/>
              </w:rPr>
            </w:pP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42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E. McConnell</w:t>
            </w: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62"/>
        </w:trPr>
        <w:tc>
          <w:tcPr>
            <w:tcW w:w="42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Accounting Officer:</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2"/>
        </w:trPr>
        <w:tc>
          <w:tcPr>
            <w:tcW w:w="4200" w:type="dxa"/>
            <w:vAlign w:val="bottom"/>
            <w:gridSpan w:val="15"/>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David L. Tomlinson</w:t>
            </w:r>
          </w:p>
        </w:tc>
        <w:tc>
          <w:tcPr>
            <w:tcW w:w="4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Senior Vice President and</w:t>
            </w:r>
          </w:p>
        </w:tc>
        <w:tc>
          <w:tcPr>
            <w:tcW w:w="29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13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4"/>
                <w:szCs w:val="14"/>
                <w:color w:val="auto"/>
              </w:rPr>
              <w:t>David L. Tomlinson</w:t>
            </w:r>
          </w:p>
        </w:tc>
        <w:tc>
          <w:tcPr>
            <w:tcW w:w="2880" w:type="dxa"/>
            <w:vAlign w:val="bottom"/>
            <w:tcBorders>
              <w:top w:val="single" w:sz="8" w:color="CCEEFF"/>
            </w:tcBorders>
            <w:gridSpan w:val="2"/>
          </w:tcPr>
          <w:p>
            <w:pPr>
              <w:spacing w:after="0"/>
              <w:rPr>
                <w:sz w:val="14"/>
                <w:szCs w:val="14"/>
                <w:color w:val="auto"/>
              </w:rPr>
            </w:pPr>
          </w:p>
        </w:tc>
        <w:tc>
          <w:tcPr>
            <w:tcW w:w="41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Chief Accounting Officer</w:t>
            </w:r>
          </w:p>
        </w:tc>
        <w:tc>
          <w:tcPr>
            <w:tcW w:w="28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62"/>
        </w:trPr>
        <w:tc>
          <w:tcPr>
            <w:tcW w:w="42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w:t>
            </w: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4200" w:type="dxa"/>
            <w:vAlign w:val="bottom"/>
            <w:gridSpan w:val="15"/>
          </w:tcPr>
          <w:p>
            <w:pPr>
              <w:spacing w:after="0" w:line="135" w:lineRule="exact"/>
              <w:rPr>
                <w:sz w:val="20"/>
                <w:szCs w:val="20"/>
                <w:color w:val="auto"/>
              </w:rPr>
            </w:pPr>
            <w:r>
              <w:rPr>
                <w:rFonts w:ascii="Times New Roman" w:cs="Times New Roman" w:eastAsia="Times New Roman" w:hAnsi="Times New Roman"/>
                <w:sz w:val="14"/>
                <w:szCs w:val="14"/>
                <w:color w:val="auto"/>
              </w:rPr>
              <w:t>/s/ Marc Zandman</w:t>
            </w: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Executive Chairman of</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1040" w:type="dxa"/>
            <w:vAlign w:val="bottom"/>
            <w:tcBorders>
              <w:top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 Zandman</w:t>
            </w:r>
          </w:p>
        </w:tc>
        <w:tc>
          <w:tcPr>
            <w:tcW w:w="3160" w:type="dxa"/>
            <w:vAlign w:val="bottom"/>
            <w:gridSpan w:val="8"/>
            <w:shd w:val="clear" w:color="auto" w:fill="CCEEFF"/>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Board of Directors</w:t>
            </w: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080" w:type="dxa"/>
            <w:vAlign w:val="bottom"/>
            <w:tcBorders>
              <w:bottom w:val="single" w:sz="8" w:color="auto"/>
            </w:tcBorders>
            <w:gridSpan w:val="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Renee B. Booth</w:t>
            </w:r>
          </w:p>
        </w:tc>
        <w:tc>
          <w:tcPr>
            <w:tcW w:w="3120" w:type="dxa"/>
            <w:vAlign w:val="bottom"/>
            <w:tcBorders>
              <w:bottom w:val="single" w:sz="8" w:color="CCEEFF"/>
            </w:tcBorders>
            <w:gridSpan w:val="7"/>
            <w:shd w:val="clear" w:color="auto" w:fill="CCEEFF"/>
          </w:tcPr>
          <w:p>
            <w:pPr>
              <w:spacing w:after="0"/>
              <w:rPr>
                <w:sz w:val="12"/>
                <w:szCs w:val="12"/>
                <w:color w:val="auto"/>
              </w:rPr>
            </w:pPr>
          </w:p>
        </w:tc>
        <w:tc>
          <w:tcPr>
            <w:tcW w:w="416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42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Dr. Renee B. Booth</w:t>
            </w: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120" w:type="dxa"/>
            <w:vAlign w:val="bottom"/>
            <w:tcBorders>
              <w:bottom w:val="single" w:sz="8" w:color="auto"/>
            </w:tcBorders>
            <w:gridSpan w:val="9"/>
          </w:tcPr>
          <w:p>
            <w:pPr>
              <w:spacing w:after="0" w:line="135" w:lineRule="exact"/>
              <w:rPr>
                <w:sz w:val="20"/>
                <w:szCs w:val="20"/>
                <w:color w:val="auto"/>
              </w:rPr>
            </w:pPr>
            <w:r>
              <w:rPr>
                <w:rFonts w:ascii="Times New Roman" w:cs="Times New Roman" w:eastAsia="Times New Roman" w:hAnsi="Times New Roman"/>
                <w:sz w:val="14"/>
                <w:szCs w:val="14"/>
                <w:color w:val="auto"/>
              </w:rPr>
              <w:t>/s/ Michael J. Cody</w:t>
            </w:r>
          </w:p>
        </w:tc>
        <w:tc>
          <w:tcPr>
            <w:tcW w:w="3080" w:type="dxa"/>
            <w:vAlign w:val="bottom"/>
            <w:gridSpan w:val="6"/>
          </w:tcPr>
          <w:p>
            <w:pPr>
              <w:spacing w:after="0"/>
              <w:rPr>
                <w:sz w:val="12"/>
                <w:szCs w:val="12"/>
                <w:color w:val="auto"/>
              </w:rPr>
            </w:pP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42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J. Cody</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280" w:type="dxa"/>
            <w:vAlign w:val="bottom"/>
            <w:tcBorders>
              <w:bottom w:val="single" w:sz="8" w:color="auto"/>
            </w:tcBorders>
            <w:gridSpan w:val="1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Michiko Kurahashi</w:t>
            </w:r>
          </w:p>
        </w:tc>
        <w:tc>
          <w:tcPr>
            <w:tcW w:w="2920" w:type="dxa"/>
            <w:vAlign w:val="bottom"/>
            <w:tcBorders>
              <w:bottom w:val="single" w:sz="8" w:color="CCEEFF"/>
            </w:tcBorders>
            <w:gridSpan w:val="3"/>
            <w:shd w:val="clear" w:color="auto" w:fill="CCEEFF"/>
          </w:tcPr>
          <w:p>
            <w:pPr>
              <w:spacing w:after="0"/>
              <w:rPr>
                <w:sz w:val="12"/>
                <w:szCs w:val="12"/>
                <w:color w:val="auto"/>
              </w:rPr>
            </w:pPr>
          </w:p>
        </w:tc>
        <w:tc>
          <w:tcPr>
            <w:tcW w:w="416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42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Dr. Michiko Kurahashi</w:t>
            </w: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35"/>
        </w:trPr>
        <w:tc>
          <w:tcPr>
            <w:tcW w:w="4200" w:type="dxa"/>
            <w:vAlign w:val="bottom"/>
            <w:gridSpan w:val="15"/>
          </w:tcPr>
          <w:p>
            <w:pPr>
              <w:spacing w:after="0" w:line="135" w:lineRule="exact"/>
              <w:rPr>
                <w:sz w:val="20"/>
                <w:szCs w:val="20"/>
                <w:color w:val="auto"/>
              </w:rPr>
            </w:pPr>
            <w:r>
              <w:rPr>
                <w:rFonts w:ascii="Times New Roman" w:cs="Times New Roman" w:eastAsia="Times New Roman" w:hAnsi="Times New Roman"/>
                <w:sz w:val="14"/>
                <w:szCs w:val="14"/>
                <w:color w:val="auto"/>
              </w:rPr>
              <w:t>/s/ Abraham Ludomirski</w:t>
            </w: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27"/>
        </w:trPr>
        <w:tc>
          <w:tcPr>
            <w:tcW w:w="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162"/>
        </w:trPr>
        <w:tc>
          <w:tcPr>
            <w:tcW w:w="42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Dr. Abraham Ludomirski</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4180" w:type="dxa"/>
            <w:vAlign w:val="bottom"/>
            <w:gridSpan w:val="1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John Malvisi</w:t>
            </w:r>
          </w:p>
        </w:tc>
        <w:tc>
          <w:tcPr>
            <w:tcW w:w="4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2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John Malvisi</w:t>
            </w:r>
          </w:p>
        </w:tc>
        <w:tc>
          <w:tcPr>
            <w:tcW w:w="3260" w:type="dxa"/>
            <w:vAlign w:val="bottom"/>
            <w:tcBorders>
              <w:top w:val="single" w:sz="8" w:color="CCEEFF"/>
            </w:tcBorders>
            <w:gridSpan w:val="10"/>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8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4200" w:type="dxa"/>
            <w:vAlign w:val="bottom"/>
            <w:gridSpan w:val="15"/>
          </w:tcPr>
          <w:p>
            <w:pPr>
              <w:spacing w:after="0" w:line="135" w:lineRule="exact"/>
              <w:rPr>
                <w:sz w:val="20"/>
                <w:szCs w:val="20"/>
                <w:color w:val="auto"/>
              </w:rPr>
            </w:pPr>
            <w:r>
              <w:rPr>
                <w:rFonts w:ascii="Times New Roman" w:cs="Times New Roman" w:eastAsia="Times New Roman" w:hAnsi="Times New Roman"/>
                <w:sz w:val="14"/>
                <w:szCs w:val="14"/>
                <w:color w:val="auto"/>
              </w:rPr>
              <w:t>/s/ Ziv Shoshani</w:t>
            </w: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92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Ziv Shoshani</w:t>
            </w:r>
          </w:p>
        </w:tc>
        <w:tc>
          <w:tcPr>
            <w:tcW w:w="3280" w:type="dxa"/>
            <w:vAlign w:val="bottom"/>
            <w:gridSpan w:val="11"/>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260" w:type="dxa"/>
            <w:vAlign w:val="bottom"/>
            <w:tcBorders>
              <w:bottom w:val="single" w:sz="8" w:color="auto"/>
            </w:tcBorders>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w w:val="98"/>
              </w:rPr>
              <w:t>/s/ Timothy V. Talbert</w:t>
            </w:r>
          </w:p>
        </w:tc>
        <w:tc>
          <w:tcPr>
            <w:tcW w:w="2940" w:type="dxa"/>
            <w:vAlign w:val="bottom"/>
            <w:tcBorders>
              <w:bottom w:val="single" w:sz="8" w:color="CCEEFF"/>
            </w:tcBorders>
            <w:gridSpan w:val="4"/>
            <w:shd w:val="clear" w:color="auto" w:fill="CCEEFF"/>
          </w:tcPr>
          <w:p>
            <w:pPr>
              <w:spacing w:after="0"/>
              <w:rPr>
                <w:sz w:val="12"/>
                <w:szCs w:val="12"/>
                <w:color w:val="auto"/>
              </w:rPr>
            </w:pPr>
          </w:p>
        </w:tc>
        <w:tc>
          <w:tcPr>
            <w:tcW w:w="416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42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Timothy V. Talbert</w:t>
            </w: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020" w:type="dxa"/>
            <w:vAlign w:val="bottom"/>
            <w:tcBorders>
              <w:bottom w:val="single" w:sz="8" w:color="auto"/>
            </w:tcBorders>
            <w:gridSpan w:val="6"/>
          </w:tcPr>
          <w:p>
            <w:pPr>
              <w:spacing w:after="0" w:line="135" w:lineRule="exact"/>
              <w:rPr>
                <w:sz w:val="20"/>
                <w:szCs w:val="20"/>
                <w:color w:val="auto"/>
              </w:rPr>
            </w:pPr>
            <w:r>
              <w:rPr>
                <w:rFonts w:ascii="Times New Roman" w:cs="Times New Roman" w:eastAsia="Times New Roman" w:hAnsi="Times New Roman"/>
                <w:sz w:val="14"/>
                <w:szCs w:val="14"/>
                <w:color w:val="auto"/>
              </w:rPr>
              <w:t>/s/ Ruta Zandman</w:t>
            </w:r>
          </w:p>
        </w:tc>
        <w:tc>
          <w:tcPr>
            <w:tcW w:w="3180" w:type="dxa"/>
            <w:vAlign w:val="bottom"/>
            <w:gridSpan w:val="9"/>
          </w:tcPr>
          <w:p>
            <w:pPr>
              <w:spacing w:after="0"/>
              <w:rPr>
                <w:sz w:val="12"/>
                <w:szCs w:val="12"/>
                <w:color w:val="auto"/>
              </w:rPr>
            </w:pP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62"/>
        </w:trPr>
        <w:tc>
          <w:tcPr>
            <w:tcW w:w="42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Ruta Zandman</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240" w:type="dxa"/>
            <w:vAlign w:val="bottom"/>
            <w:tcBorders>
              <w:bottom w:val="single" w:sz="8" w:color="auto"/>
            </w:tcBorders>
            <w:gridSpan w:val="10"/>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Raanan Zilberman</w:t>
            </w:r>
          </w:p>
        </w:tc>
        <w:tc>
          <w:tcPr>
            <w:tcW w:w="2960" w:type="dxa"/>
            <w:vAlign w:val="bottom"/>
            <w:tcBorders>
              <w:bottom w:val="single" w:sz="8" w:color="CCEEFF"/>
            </w:tcBorders>
            <w:gridSpan w:val="5"/>
            <w:shd w:val="clear" w:color="auto" w:fill="CCEEFF"/>
          </w:tcPr>
          <w:p>
            <w:pPr>
              <w:spacing w:after="0"/>
              <w:rPr>
                <w:sz w:val="12"/>
                <w:szCs w:val="12"/>
                <w:color w:val="auto"/>
              </w:rPr>
            </w:pPr>
          </w:p>
        </w:tc>
        <w:tc>
          <w:tcPr>
            <w:tcW w:w="416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14, 2025</w:t>
            </w:r>
          </w:p>
        </w:tc>
      </w:tr>
      <w:tr>
        <w:trPr>
          <w:trHeight w:val="188"/>
        </w:trPr>
        <w:tc>
          <w:tcPr>
            <w:tcW w:w="42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Raanan Zilberman</w:t>
            </w:r>
          </w:p>
        </w:tc>
        <w:tc>
          <w:tcPr>
            <w:tcW w:w="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5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160" w:type="dxa"/>
            <w:vAlign w:val="bottom"/>
            <w:gridSpan w:val="2"/>
          </w:tcPr>
          <w:p>
            <w:pPr>
              <w:ind w:left="1380"/>
              <w:spacing w:after="0"/>
              <w:rPr>
                <w:sz w:val="20"/>
                <w:szCs w:val="20"/>
                <w:color w:val="auto"/>
              </w:rPr>
            </w:pPr>
            <w:r>
              <w:rPr>
                <w:rFonts w:ascii="Times New Roman" w:cs="Times New Roman" w:eastAsia="Times New Roman" w:hAnsi="Times New Roman"/>
                <w:sz w:val="12"/>
                <w:szCs w:val="12"/>
                <w:color w:val="auto"/>
              </w:rPr>
              <w:t>69</w:t>
            </w: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6"/>
        </w:trPr>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470535</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0" w:type="dxa"/>
            <w:vAlign w:val="bottom"/>
          </w:tcPr>
          <w:p>
            <w:pPr>
              <w:jc w:val="center"/>
              <w:ind w:right="2212"/>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06"/>
        </w:trPr>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Pr>
          <w:p>
            <w:pPr>
              <w:jc w:val="center"/>
              <w:ind w:right="2212"/>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6"/>
        </w:trPr>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2"/>
        </w:trPr>
        <w:tc>
          <w:tcPr>
            <w:tcW w:w="10580" w:type="dxa"/>
            <w:vAlign w:val="bottom"/>
            <w:tcBorders>
              <w:right w:val="single" w:sz="8" w:color="CCEE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ID:42)</w:t>
            </w:r>
          </w:p>
        </w:tc>
        <w:tc>
          <w:tcPr>
            <w:tcW w:w="72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F-2</w:t>
            </w:r>
          </w:p>
        </w:tc>
      </w:tr>
      <w:tr>
        <w:trPr>
          <w:trHeight w:val="144"/>
        </w:trPr>
        <w:tc>
          <w:tcPr>
            <w:tcW w:w="16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600" w:type="dxa"/>
            <w:vAlign w:val="bottom"/>
            <w:tcBorders>
              <w:top w:val="single" w:sz="8" w:color="CCEEFF"/>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r>
      <w:tr>
        <w:trPr>
          <w:trHeight w:val="162"/>
        </w:trPr>
        <w:tc>
          <w:tcPr>
            <w:tcW w:w="1058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Audited Consolidated Financial Statements</w:t>
            </w:r>
          </w:p>
        </w:tc>
        <w:tc>
          <w:tcPr>
            <w:tcW w:w="200" w:type="dxa"/>
            <w:vAlign w:val="bottom"/>
            <w:shd w:val="clear" w:color="auto" w:fill="CCEEFF"/>
          </w:tcPr>
          <w:p>
            <w:pPr>
              <w:spacing w:after="0"/>
              <w:rPr>
                <w:sz w:val="14"/>
                <w:szCs w:val="14"/>
                <w:color w:val="auto"/>
              </w:rPr>
            </w:pPr>
          </w:p>
        </w:tc>
        <w:tc>
          <w:tcPr>
            <w:tcW w:w="520" w:type="dxa"/>
            <w:vAlign w:val="bottom"/>
            <w:tcBorders>
              <w:left w:val="single" w:sz="8" w:color="CCEEFF"/>
            </w:tcBorders>
            <w:shd w:val="clear" w:color="auto" w:fill="CCEEFF"/>
          </w:tcPr>
          <w:p>
            <w:pPr>
              <w:spacing w:after="0"/>
              <w:rPr>
                <w:sz w:val="14"/>
                <w:szCs w:val="14"/>
                <w:color w:val="auto"/>
              </w:rPr>
            </w:pPr>
          </w:p>
        </w:tc>
      </w:tr>
      <w:tr>
        <w:trPr>
          <w:trHeight w:val="144"/>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10580" w:type="dxa"/>
            <w:vAlign w:val="bottom"/>
            <w:tcBorders>
              <w:right w:val="single" w:sz="8" w:color="CCEE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Balance Sheets</w:t>
            </w:r>
          </w:p>
        </w:tc>
        <w:tc>
          <w:tcPr>
            <w:tcW w:w="72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F-4</w:t>
            </w:r>
          </w:p>
        </w:tc>
      </w:tr>
      <w:tr>
        <w:trPr>
          <w:trHeight w:val="27"/>
        </w:trPr>
        <w:tc>
          <w:tcPr>
            <w:tcW w:w="1660" w:type="dxa"/>
            <w:vAlign w:val="bottom"/>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Borders>
              <w:left w:val="single" w:sz="8" w:color="CCEEFF"/>
            </w:tcBorders>
            <w:shd w:val="clear" w:color="auto" w:fill="CCEEFF"/>
          </w:tcPr>
          <w:p>
            <w:pPr>
              <w:spacing w:after="0"/>
              <w:rPr>
                <w:sz w:val="2"/>
                <w:szCs w:val="2"/>
                <w:color w:val="auto"/>
              </w:rPr>
            </w:pPr>
          </w:p>
        </w:tc>
      </w:tr>
      <w:tr>
        <w:trPr>
          <w:trHeight w:val="135"/>
        </w:trPr>
        <w:tc>
          <w:tcPr>
            <w:tcW w:w="10580" w:type="dxa"/>
            <w:vAlign w:val="bottom"/>
            <w:gridSpan w:val="6"/>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Operations</w:t>
            </w:r>
          </w:p>
        </w:tc>
        <w:tc>
          <w:tcPr>
            <w:tcW w:w="72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F-6</w:t>
            </w:r>
          </w:p>
        </w:tc>
      </w:tr>
      <w:tr>
        <w:trPr>
          <w:trHeight w:val="27"/>
        </w:trPr>
        <w:tc>
          <w:tcPr>
            <w:tcW w:w="16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r>
      <w:tr>
        <w:trPr>
          <w:trHeight w:val="142"/>
        </w:trPr>
        <w:tc>
          <w:tcPr>
            <w:tcW w:w="10580" w:type="dxa"/>
            <w:vAlign w:val="bottom"/>
            <w:tcBorders>
              <w:right w:val="single" w:sz="8" w:color="CCEE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Comprehensive Income</w:t>
            </w:r>
          </w:p>
        </w:tc>
        <w:tc>
          <w:tcPr>
            <w:tcW w:w="72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F-7</w:t>
            </w:r>
          </w:p>
        </w:tc>
      </w:tr>
      <w:tr>
        <w:trPr>
          <w:trHeight w:val="135"/>
        </w:trPr>
        <w:tc>
          <w:tcPr>
            <w:tcW w:w="2980" w:type="dxa"/>
            <w:vAlign w:val="bottom"/>
            <w:tcBorders>
              <w:top w:val="single" w:sz="8" w:color="0000EE"/>
            </w:tcBorders>
            <w:gridSpan w:val="5"/>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Cash Flows</w:t>
            </w:r>
          </w:p>
        </w:tc>
        <w:tc>
          <w:tcPr>
            <w:tcW w:w="7600" w:type="dxa"/>
            <w:vAlign w:val="bottom"/>
            <w:tcBorders>
              <w:top w:val="single" w:sz="8" w:color="CCEEFF"/>
            </w:tcBorders>
          </w:tcPr>
          <w:p>
            <w:pPr>
              <w:spacing w:after="0"/>
              <w:rPr>
                <w:sz w:val="11"/>
                <w:szCs w:val="11"/>
                <w:color w:val="auto"/>
              </w:rPr>
            </w:pPr>
          </w:p>
        </w:tc>
        <w:tc>
          <w:tcPr>
            <w:tcW w:w="200" w:type="dxa"/>
            <w:vAlign w:val="bottom"/>
            <w:tcBorders>
              <w:top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rPr>
              <w:t>F-8</w:t>
            </w:r>
          </w:p>
        </w:tc>
        <w:tc>
          <w:tcPr>
            <w:tcW w:w="520" w:type="dxa"/>
            <w:vAlign w:val="bottom"/>
            <w:tcBorders>
              <w:top w:val="single" w:sz="8" w:color="CCEEFF"/>
            </w:tcBorders>
          </w:tcPr>
          <w:p>
            <w:pPr>
              <w:spacing w:after="0"/>
              <w:rPr>
                <w:sz w:val="11"/>
                <w:szCs w:val="11"/>
                <w:color w:val="auto"/>
              </w:rPr>
            </w:pPr>
          </w:p>
        </w:tc>
      </w:tr>
      <w:tr>
        <w:trPr>
          <w:trHeight w:val="27"/>
        </w:trPr>
        <w:tc>
          <w:tcPr>
            <w:tcW w:w="16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r>
      <w:tr>
        <w:trPr>
          <w:trHeight w:val="142"/>
        </w:trPr>
        <w:tc>
          <w:tcPr>
            <w:tcW w:w="2840" w:type="dxa"/>
            <w:vAlign w:val="bottom"/>
            <w:tcBorders>
              <w:bottom w:val="single" w:sz="8" w:color="0000EE"/>
            </w:tcBorders>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Stockholders’ Equity</w:t>
            </w:r>
          </w:p>
        </w:tc>
        <w:tc>
          <w:tcPr>
            <w:tcW w:w="7740" w:type="dxa"/>
            <w:vAlign w:val="bottom"/>
            <w:tcBorders>
              <w:bottom w:val="single" w:sz="8" w:color="CCEEFF"/>
              <w:right w:val="single" w:sz="8" w:color="CCEEFF"/>
            </w:tcBorders>
            <w:gridSpan w:val="2"/>
            <w:shd w:val="clear" w:color="auto" w:fill="CCEEFF"/>
          </w:tcPr>
          <w:p>
            <w:pPr>
              <w:spacing w:after="0"/>
              <w:rPr>
                <w:sz w:val="12"/>
                <w:szCs w:val="12"/>
                <w:color w:val="auto"/>
              </w:rPr>
            </w:pPr>
          </w:p>
        </w:tc>
        <w:tc>
          <w:tcPr>
            <w:tcW w:w="200" w:type="dxa"/>
            <w:vAlign w:val="bottom"/>
            <w:tcBorders>
              <w:bottom w:val="single" w:sz="8" w:color="0000EE"/>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rPr>
              <w:t>F-9</w:t>
            </w:r>
          </w:p>
        </w:tc>
        <w:tc>
          <w:tcPr>
            <w:tcW w:w="52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35"/>
        </w:trPr>
        <w:tc>
          <w:tcPr>
            <w:tcW w:w="10580" w:type="dxa"/>
            <w:vAlign w:val="bottom"/>
            <w:gridSpan w:val="6"/>
          </w:tcPr>
          <w:p>
            <w:pPr>
              <w:spacing w:after="0" w:line="135"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72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4"/>
                <w:szCs w:val="14"/>
                <w:color w:val="0000EE"/>
                <w:w w:val="83"/>
              </w:rPr>
              <w:t>F-10</w:t>
            </w:r>
          </w:p>
        </w:tc>
      </w:tr>
      <w:tr>
        <w:trPr>
          <w:trHeight w:val="412"/>
        </w:trPr>
        <w:tc>
          <w:tcPr>
            <w:tcW w:w="16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Pr>
          <w:p>
            <w:pPr>
              <w:jc w:val="center"/>
              <w:ind w:right="2212"/>
              <w:spacing w:after="0"/>
              <w:rPr>
                <w:sz w:val="20"/>
                <w:szCs w:val="20"/>
                <w:color w:val="auto"/>
              </w:rPr>
            </w:pPr>
            <w:r>
              <w:rPr>
                <w:rFonts w:ascii="Times New Roman" w:cs="Times New Roman" w:eastAsia="Times New Roman" w:hAnsi="Times New Roman"/>
                <w:sz w:val="12"/>
                <w:szCs w:val="12"/>
                <w:color w:val="auto"/>
                <w:w w:val="95"/>
              </w:rPr>
              <w:t>F-1</w:t>
            </w:r>
          </w:p>
        </w:tc>
        <w:tc>
          <w:tcPr>
            <w:tcW w:w="2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r>
      <w:tr>
        <w:trPr>
          <w:trHeight w:val="36"/>
        </w:trPr>
        <w:tc>
          <w:tcPr>
            <w:tcW w:w="16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695" w:right="29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the Stockholders and the Board of Directors of Vishay Intertechnology,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Vishay Intertechnology, Inc. (the Company) as of December 31, 2024 and 2023, the related consolidated statements of operations,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14, 2025 expressed an unqualified opinion thereon.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 to which they relate.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71" w:name="page72"/>
    <w:bookmarkEnd w:id="71"/>
    <w:p>
      <w:pPr>
        <w:ind w:left="2020"/>
        <w:spacing w:after="0"/>
        <w:rPr>
          <w:sz w:val="20"/>
          <w:szCs w:val="20"/>
          <w:color w:val="auto"/>
        </w:rPr>
      </w:pPr>
      <w:r>
        <w:rPr>
          <w:rFonts w:ascii="Times New Roman" w:cs="Times New Roman" w:eastAsia="Times New Roman" w:hAnsi="Times New Roman"/>
          <w:sz w:val="14"/>
          <w:szCs w:val="14"/>
          <w:b w:val="1"/>
          <w:bCs w:val="1"/>
          <w:i w:val="1"/>
          <w:iCs w:val="1"/>
          <w:color w:val="auto"/>
        </w:rPr>
        <w:t>Sales Returns and Allowances Accruals</w:t>
      </w:r>
    </w:p>
    <w:p>
      <w:pPr>
        <w:spacing w:after="0" w:line="21" w:lineRule="exact"/>
        <w:rPr>
          <w:sz w:val="20"/>
          <w:szCs w:val="20"/>
          <w:color w:val="auto"/>
        </w:rPr>
      </w:pPr>
    </w:p>
    <w:p>
      <w:pPr>
        <w:jc w:val="both"/>
        <w:ind w:left="2020" w:right="40" w:hanging="2033"/>
        <w:spacing w:after="0" w:line="247" w:lineRule="auto"/>
        <w:tabs>
          <w:tab w:leader="none" w:pos="200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At December 31, 2024, the Company’s liability for sales returns and allowances was $43.4 million. As discussed in Note 1 of the consolidated financial statements, the Company recognizes the estimated variable consideration to be received from contracts with customers as revenue and recognizes a related accrued liability for estimated future credits that will be issued to its customers, primarily distributors, for product returns, scrap allowance, “stock, ship and debit”, and price protection programs with those customers.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Auditing management’s sales returns and allowances accruals specifically related to the scrap allowance and “stock, ship and debit” programs was especially</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challenging because of the judgement used by management to determine the amount of future credits that will be issued to customers for sales that were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recognized during the period. Estimating the scrap allowance and “stock, ship and debit” accrual involves the application of models which require management</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 make certain assumptions including historical customer credit rates.</w:t>
            </w:r>
          </w:p>
        </w:tc>
        <w:tc>
          <w:tcPr>
            <w:tcW w:w="0" w:type="dxa"/>
            <w:vAlign w:val="bottom"/>
          </w:tcPr>
          <w:p>
            <w:pPr>
              <w:spacing w:after="0"/>
              <w:rPr>
                <w:sz w:val="1"/>
                <w:szCs w:val="1"/>
                <w:color w:val="auto"/>
              </w:rPr>
            </w:pPr>
          </w:p>
        </w:tc>
      </w:tr>
      <w:tr>
        <w:trPr>
          <w:trHeight w:val="251"/>
        </w:trPr>
        <w:tc>
          <w:tcPr>
            <w:tcW w:w="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How</w:t>
            </w:r>
          </w:p>
        </w:tc>
        <w:tc>
          <w:tcPr>
            <w:tcW w:w="3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We</w:t>
            </w: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Addressed</w:t>
            </w: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the</w:t>
            </w: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sales returns and allowances review</w:t>
            </w:r>
          </w:p>
        </w:tc>
        <w:tc>
          <w:tcPr>
            <w:tcW w:w="0" w:type="dxa"/>
            <w:vAlign w:val="bottom"/>
          </w:tcPr>
          <w:p>
            <w:pPr>
              <w:spacing w:after="0"/>
              <w:rPr>
                <w:sz w:val="1"/>
                <w:szCs w:val="1"/>
                <w:color w:val="auto"/>
              </w:rPr>
            </w:pPr>
          </w:p>
        </w:tc>
      </w:tr>
      <w:tr>
        <w:trPr>
          <w:trHeight w:val="164"/>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Matter in Our Audit</w:t>
            </w: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process for the scrap allowance and “stock, ship and debit” programs, including testing controls over management’s review of the reserve calculation and the</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underlying assumptions used to develop the estimates.</w:t>
            </w:r>
          </w:p>
        </w:tc>
        <w:tc>
          <w:tcPr>
            <w:tcW w:w="0" w:type="dxa"/>
            <w:vAlign w:val="bottom"/>
          </w:tcPr>
          <w:p>
            <w:pPr>
              <w:spacing w:after="0"/>
              <w:rPr>
                <w:sz w:val="1"/>
                <w:szCs w:val="1"/>
                <w:color w:val="auto"/>
              </w:rPr>
            </w:pPr>
          </w:p>
        </w:tc>
      </w:tr>
      <w:tr>
        <w:trPr>
          <w:trHeight w:val="280"/>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 test the estimated sales returns and allowances accruals for the scrap allowance and “stock, ship and debit” programs, we performed audit procedures that</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included, among others, assessing methodologies and testing the assumptions discussed above and the completeness and accuracy of the underlying data used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by the Company in its analyses. We inspected contracts with customers in evaluating whether the assumptions used by management agreed with the terms and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conditions of the contracts. In addition, we compared the assumptions used by management to actual historical credit experience. We also assessed the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historical accuracy of management’s estimates and performed sensitivity analyses of significant assumptions to evaluate the changes in the accruals that would</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result from changes in the assumptions.</w:t>
            </w:r>
          </w:p>
        </w:tc>
        <w:tc>
          <w:tcPr>
            <w:tcW w:w="0" w:type="dxa"/>
            <w:vAlign w:val="bottom"/>
          </w:tcPr>
          <w:p>
            <w:pPr>
              <w:spacing w:after="0"/>
              <w:rPr>
                <w:sz w:val="1"/>
                <w:szCs w:val="1"/>
                <w:color w:val="auto"/>
              </w:rPr>
            </w:pPr>
          </w:p>
        </w:tc>
      </w:tr>
      <w:tr>
        <w:trPr>
          <w:trHeight w:val="280"/>
        </w:trPr>
        <w:tc>
          <w:tcPr>
            <w:tcW w:w="18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Goodwill Impairment</w:t>
            </w:r>
          </w:p>
        </w:tc>
        <w:tc>
          <w:tcPr>
            <w:tcW w:w="0" w:type="dxa"/>
            <w:vAlign w:val="bottom"/>
          </w:tcPr>
          <w:p>
            <w:pPr>
              <w:spacing w:after="0"/>
              <w:rPr>
                <w:sz w:val="1"/>
                <w:szCs w:val="1"/>
                <w:color w:val="auto"/>
              </w:rPr>
            </w:pPr>
          </w:p>
        </w:tc>
      </w:tr>
      <w:tr>
        <w:trPr>
          <w:trHeight w:val="162"/>
        </w:trPr>
        <w:tc>
          <w:tcPr>
            <w:tcW w:w="1820" w:type="dxa"/>
            <w:vAlign w:val="bottom"/>
            <w:gridSpan w:val="4"/>
            <w:vMerge w:val="continue"/>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At December 31, 2024, the Company’s goodwill balance was $179.0 million. As discussed in Note 1 and Note 19 of the consolidated financial statements, the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Company’s goodwill is tested for impairment at least annually, or whenever events or circumstances indicate that the value of goodwill may be impaired. If</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goodwill is determined to be impaired, an impairment loss is measured at the amount by which the reporting unit’s carrying amount exceeds its fair value, not to</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exceed the carrying amount of goodwill. During the fourth quarter of 2024, the Company identified impairment indicators related to goodwill within the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MOSFETs reporting unit. The Company performed a quantitative assessment of the reporting unit to determine its fair value. Based on the Company’s</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evaluation, the estimated fair value of the reporting unit was determined to be less than its carrying value. As a result, a non-cash goodwill impairment charge of</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$66.5 million was recognized.</w:t>
            </w:r>
          </w:p>
        </w:tc>
        <w:tc>
          <w:tcPr>
            <w:tcW w:w="0" w:type="dxa"/>
            <w:vAlign w:val="bottom"/>
          </w:tcPr>
          <w:p>
            <w:pPr>
              <w:spacing w:after="0"/>
              <w:rPr>
                <w:sz w:val="1"/>
                <w:szCs w:val="1"/>
                <w:color w:val="auto"/>
              </w:rPr>
            </w:pPr>
          </w:p>
        </w:tc>
      </w:tr>
      <w:tr>
        <w:trPr>
          <w:trHeight w:val="280"/>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Auditing the Company’s goodwill impairment assessment for the MOSFETs reporting unit was complex and highly judgmental due to the significant judgments</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and estimation required by management in determining the fair value of the reporting unit, which is based on assumptions about future market or economic</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conditions and company-specific qualitative factors whose outcome is uncertain and will therefore be subject to change over time. In particular, the fair value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estimate of the reporting unit involves the use of significant unobservable inputs and is sensitive to changes in significant assumptions, such as the discount rate,</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revenue growth rate, and earnings before interest, taxes, depreciation and amortization ("EBITDA").</w:t>
            </w:r>
          </w:p>
        </w:tc>
        <w:tc>
          <w:tcPr>
            <w:tcW w:w="0" w:type="dxa"/>
            <w:vAlign w:val="bottom"/>
          </w:tcPr>
          <w:p>
            <w:pPr>
              <w:spacing w:after="0"/>
              <w:rPr>
                <w:sz w:val="1"/>
                <w:szCs w:val="1"/>
                <w:color w:val="auto"/>
              </w:rPr>
            </w:pPr>
          </w:p>
        </w:tc>
      </w:tr>
      <w:tr>
        <w:trPr>
          <w:trHeight w:val="251"/>
        </w:trPr>
        <w:tc>
          <w:tcPr>
            <w:tcW w:w="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How</w:t>
            </w:r>
          </w:p>
        </w:tc>
        <w:tc>
          <w:tcPr>
            <w:tcW w:w="3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We</w:t>
            </w: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Addressed</w:t>
            </w: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the</w:t>
            </w: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goodwill impairment review and</w:t>
            </w:r>
          </w:p>
        </w:tc>
        <w:tc>
          <w:tcPr>
            <w:tcW w:w="0" w:type="dxa"/>
            <w:vAlign w:val="bottom"/>
          </w:tcPr>
          <w:p>
            <w:pPr>
              <w:spacing w:after="0"/>
              <w:rPr>
                <w:sz w:val="1"/>
                <w:szCs w:val="1"/>
                <w:color w:val="auto"/>
              </w:rPr>
            </w:pPr>
          </w:p>
        </w:tc>
      </w:tr>
      <w:tr>
        <w:trPr>
          <w:trHeight w:val="164"/>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Matter in Our Audit</w:t>
            </w:r>
          </w:p>
        </w:tc>
        <w:tc>
          <w:tcPr>
            <w:tcW w:w="440" w:type="dxa"/>
            <w:vAlign w:val="bottom"/>
          </w:tcPr>
          <w:p>
            <w:pPr>
              <w:spacing w:after="0"/>
              <w:rPr>
                <w:sz w:val="14"/>
                <w:szCs w:val="14"/>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testing process over the MOSFETs reporting unit. For example, we tested controls over management’s review of the valuation model, the significant</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assumptions described above, and the completeness and accuracy of the data used in the valuation.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020"/>
        <w:spacing w:after="0" w:line="251" w:lineRule="auto"/>
        <w:rPr>
          <w:sz w:val="20"/>
          <w:szCs w:val="20"/>
          <w:color w:val="auto"/>
        </w:rPr>
      </w:pPr>
      <w:r>
        <w:rPr>
          <w:rFonts w:ascii="Times New Roman" w:cs="Times New Roman" w:eastAsia="Times New Roman" w:hAnsi="Times New Roman"/>
          <w:sz w:val="14"/>
          <w:szCs w:val="14"/>
          <w:color w:val="auto"/>
        </w:rPr>
        <w:t>To test the estimated fair value for the MOSFETs reporting unit, we performed audit procedures that included, among others, assessing the methodologies used to develop the estimated fair values, testing the significant assumptions discussed above, and evaluating the completeness and accuracy of the underlying data used by the Company in its analyses. We compared the significant assumptions used by management to historical results and current industry trends. We performed sensitivity analyses of significant assumptions to evaluate the changes in the fair value of the reporting units that would result from changes in the assumptions. We also involved valuation specialists to assist in our evaluation of the overall methodologies and the discount rate used in the fair value estimate.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1968.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14,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6"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304"/>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590,286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972,719</w:t>
            </w: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16,130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35,808</w:t>
            </w: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net of allowances for credit losses of $1,311 and $1,705, respectively</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401,901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426,674</w:t>
            </w: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Finished goods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175,176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167,083</w:t>
            </w:r>
          </w:p>
        </w:tc>
      </w:tr>
      <w:tr>
        <w:trPr>
          <w:trHeight w:val="162"/>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Work in process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296,393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267,339</w:t>
            </w:r>
          </w:p>
        </w:tc>
      </w:tr>
      <w:tr>
        <w:trPr>
          <w:trHeight w:val="162"/>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Raw materials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217,812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213,098</w:t>
            </w:r>
          </w:p>
        </w:tc>
      </w:tr>
      <w:tr>
        <w:trPr>
          <w:trHeight w:val="16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inventories</w:t>
            </w: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689,381</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647,520</w:t>
            </w:r>
          </w:p>
        </w:tc>
        <w:tc>
          <w:tcPr>
            <w:tcW w:w="120" w:type="dxa"/>
            <w:vAlign w:val="bottom"/>
            <w:shd w:val="clear" w:color="auto" w:fill="CCEEFF"/>
          </w:tcPr>
          <w:p>
            <w:pPr>
              <w:spacing w:after="0"/>
              <w:rPr>
                <w:sz w:val="13"/>
                <w:szCs w:val="13"/>
                <w:color w:val="auto"/>
              </w:rPr>
            </w:pP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217,809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214,443</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1,915,507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2,297,164</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Land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84,124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77,006</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766,058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719,387</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3,259,213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3,053,868</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367,564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290,593</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Allowance for depreciation</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(2,931,221)</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(2,846,208)</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1,545,738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1,294,646</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117,953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126,829</w:t>
            </w:r>
          </w:p>
        </w:tc>
      </w:tr>
      <w:tr>
        <w:trPr>
          <w:trHeight w:val="144"/>
        </w:trPr>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159,769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137,394</w:t>
            </w:r>
          </w:p>
        </w:tc>
      </w:tr>
      <w:tr>
        <w:trPr>
          <w:trHeight w:val="144"/>
        </w:trPr>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179,005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201,416</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87,223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72,333</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105,501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110,141</w:t>
            </w:r>
          </w:p>
        </w:tc>
      </w:tr>
      <w:tr>
        <w:trPr>
          <w:trHeight w:val="200"/>
        </w:trPr>
        <w:tc>
          <w:tcPr>
            <w:tcW w:w="8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4,110,696</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4,239,923</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Continues on following page.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86"/>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Trade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216,313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191,002</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Payroll and related expenses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137,101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161,940</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25,901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26,485</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accrued expenses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264,471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239,350</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64,562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73,098</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708,348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691,875</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905,019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818,188</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transition tax payable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47,027</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96,363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95,776</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94,218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102,830</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104,086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87,918</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pension and other postretirement costs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173,700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195,503</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2,081,734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2,039,117</w:t>
            </w:r>
          </w:p>
        </w:tc>
      </w:tr>
      <w:tr>
        <w:trPr>
          <w:trHeight w:val="160"/>
        </w:trPr>
        <w:tc>
          <w:tcPr>
            <w:tcW w:w="87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 par value $1.00 per share: authorized - 1,000,000 shares; zero issued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par value $0.10 per share: authorized - 300,000,000 shares; 133,607,153 and 133,187,901 shares issued</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13,319</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B convertible common stock, par value $0.10 per share: authorized - 40,000,000 shares; 12,097,148 shares issued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1,210</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1,306,245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1,291,499</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955,500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1,041,372</w:t>
            </w: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 (at cost): 9,933,595 and 7,535,881 common shares</w:t>
            </w: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(212,062)</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(161,656)</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(35,292)</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10,337</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Vishay stockholders' equity</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2,028,962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2,196,081</w:t>
            </w:r>
          </w:p>
        </w:tc>
      </w:tr>
      <w:tr>
        <w:trPr>
          <w:trHeight w:val="16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2,028,962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2,200,806</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4,110,696</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4,239,923</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286"/>
        </w:trPr>
        <w:tc>
          <w:tcPr>
            <w:tcW w:w="4760" w:type="dxa"/>
            <w:vAlign w:val="bottom"/>
          </w:tcPr>
          <w:p>
            <w:pPr>
              <w:spacing w:after="0"/>
              <w:rPr>
                <w:sz w:val="24"/>
                <w:szCs w:val="24"/>
                <w:color w:val="auto"/>
              </w:rPr>
            </w:pPr>
          </w:p>
        </w:tc>
        <w:tc>
          <w:tcPr>
            <w:tcW w:w="284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2,937,587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3,402,045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3,497,401</w:t>
            </w: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Costs of products sold</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2,311,295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2,427,552</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2,438,412</w:t>
            </w:r>
          </w:p>
        </w:tc>
      </w:tr>
      <w:tr>
        <w:trPr>
          <w:trHeight w:val="16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58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626,292</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974,493</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1,058,989</w:t>
            </w:r>
          </w:p>
        </w:tc>
        <w:tc>
          <w:tcPr>
            <w:tcW w:w="120" w:type="dxa"/>
            <w:vAlign w:val="bottom"/>
            <w:shd w:val="clear" w:color="auto" w:fill="CCEEFF"/>
          </w:tcPr>
          <w:p>
            <w:pPr>
              <w:spacing w:after="0"/>
              <w:rPr>
                <w:sz w:val="13"/>
                <w:szCs w:val="13"/>
                <w:color w:val="auto"/>
              </w:rPr>
            </w:pPr>
          </w:p>
        </w:tc>
      </w:tr>
      <w:tr>
        <w:trPr>
          <w:trHeight w:val="144"/>
        </w:trPr>
        <w:tc>
          <w:tcPr>
            <w:tcW w:w="47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513,564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488,349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443,503</w:t>
            </w: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severance costs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40,614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66,487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76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5,627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486,144</w:t>
            </w: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615,486</w:t>
            </w:r>
          </w:p>
        </w:tc>
      </w:tr>
      <w:tr>
        <w:trPr>
          <w:trHeight w:val="144"/>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(27,480)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(25,131)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(17,129)</w:t>
            </w:r>
          </w:p>
        </w:tc>
      </w:tr>
      <w:tr>
        <w:trPr>
          <w:trHeight w:val="162"/>
        </w:trPr>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19,464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25,263</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(4,852)</w:t>
            </w:r>
          </w:p>
        </w:tc>
      </w:tr>
      <w:tr>
        <w:trPr>
          <w:trHeight w:val="162"/>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(18,874)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76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(8,016)</w:t>
            </w:r>
          </w:p>
        </w:tc>
        <w:tc>
          <w:tcPr>
            <w:tcW w:w="2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(18,742)</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(21,981)</w:t>
            </w:r>
          </w:p>
        </w:tc>
      </w:tr>
      <w:tr>
        <w:trPr>
          <w:trHeight w:val="142"/>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taxes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(2,389)</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467,402</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593,505</w:t>
            </w:r>
          </w:p>
        </w:tc>
      </w:tr>
      <w:tr>
        <w:trPr>
          <w:trHeight w:val="144"/>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27,366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141,889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163,022</w:t>
            </w:r>
          </w:p>
        </w:tc>
      </w:tr>
      <w:tr>
        <w:trPr>
          <w:trHeight w:val="142"/>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(29,755)</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325,513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430,483</w:t>
            </w:r>
          </w:p>
        </w:tc>
      </w:tr>
      <w:tr>
        <w:trPr>
          <w:trHeight w:val="144"/>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Less: net earnings attributable to noncontrolling interests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1,693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1,673</w:t>
            </w:r>
          </w:p>
        </w:tc>
      </w:tr>
      <w:tr>
        <w:trPr>
          <w:trHeight w:val="144"/>
        </w:trPr>
        <w:tc>
          <w:tcPr>
            <w:tcW w:w="4760" w:type="dxa"/>
            <w:vAlign w:val="bottom"/>
            <w:tcBorders>
              <w:bottom w:val="single" w:sz="8" w:color="CCEEFF"/>
            </w:tcBorders>
            <w:shd w:val="clear" w:color="auto" w:fill="CCEEFF"/>
          </w:tcPr>
          <w:p>
            <w:pPr>
              <w:spacing w:after="0"/>
              <w:rPr>
                <w:sz w:val="12"/>
                <w:szCs w:val="12"/>
                <w:color w:val="auto"/>
              </w:rPr>
            </w:pPr>
          </w:p>
        </w:tc>
        <w:tc>
          <w:tcPr>
            <w:tcW w:w="25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60"/>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 attributable to Vishay stockholders</w:t>
            </w:r>
          </w:p>
        </w:tc>
        <w:tc>
          <w:tcPr>
            <w:tcW w:w="258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(31,150)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323,820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428,810</w:t>
            </w:r>
          </w:p>
        </w:tc>
      </w:tr>
      <w:tr>
        <w:trPr>
          <w:trHeight w:val="20"/>
        </w:trPr>
        <w:tc>
          <w:tcPr>
            <w:tcW w:w="4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4760" w:type="dxa"/>
            <w:vAlign w:val="bottom"/>
            <w:shd w:val="clear" w:color="auto" w:fill="CCEEFF"/>
          </w:tcPr>
          <w:p>
            <w:pPr>
              <w:spacing w:after="0"/>
              <w:rPr>
                <w:sz w:val="10"/>
                <w:szCs w:val="10"/>
                <w:color w:val="auto"/>
              </w:rPr>
            </w:pPr>
          </w:p>
        </w:tc>
        <w:tc>
          <w:tcPr>
            <w:tcW w:w="2840" w:type="dxa"/>
            <w:vAlign w:val="bottom"/>
            <w:gridSpan w:val="2"/>
            <w:shd w:val="clear" w:color="auto" w:fill="CCEEFF"/>
          </w:tcPr>
          <w:p>
            <w:pPr>
              <w:spacing w:after="0"/>
              <w:rPr>
                <w:sz w:val="10"/>
                <w:szCs w:val="10"/>
                <w:color w:val="auto"/>
              </w:rPr>
            </w:pPr>
          </w:p>
        </w:tc>
        <w:tc>
          <w:tcPr>
            <w:tcW w:w="112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spacing w:after="0"/>
              <w:rPr>
                <w:sz w:val="10"/>
                <w:szCs w:val="10"/>
                <w:color w:val="auto"/>
              </w:rPr>
            </w:pPr>
          </w:p>
        </w:tc>
      </w:tr>
      <w:tr>
        <w:trPr>
          <w:trHeight w:val="144"/>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(loss) per share attributable to Vishay stockholders:</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(0.23)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2.99</w:t>
            </w:r>
          </w:p>
        </w:tc>
      </w:tr>
      <w:tr>
        <w:trPr>
          <w:trHeight w:val="144"/>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(loss) per share attributable to Vishay stockholders:</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(0.23)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2.98</w:t>
            </w:r>
          </w:p>
        </w:tc>
      </w:tr>
      <w:tr>
        <w:trPr>
          <w:trHeight w:val="144"/>
        </w:trPr>
        <w:tc>
          <w:tcPr>
            <w:tcW w:w="47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136,964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139,447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143,399</w:t>
            </w:r>
          </w:p>
        </w:tc>
      </w:tr>
      <w:tr>
        <w:trPr>
          <w:trHeight w:val="144"/>
        </w:trPr>
        <w:tc>
          <w:tcPr>
            <w:tcW w:w="47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136,964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140,246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143,915</w:t>
            </w:r>
          </w:p>
        </w:tc>
      </w:tr>
      <w:tr>
        <w:trPr>
          <w:trHeight w:val="144"/>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 per share</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0.40</w:t>
            </w:r>
          </w:p>
        </w:tc>
      </w:tr>
      <w:tr>
        <w:trPr>
          <w:trHeight w:val="314"/>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2"/>
        </w:trPr>
        <w:tc>
          <w:tcPr>
            <w:tcW w:w="4760" w:type="dxa"/>
            <w:vAlign w:val="bottom"/>
          </w:tcPr>
          <w:p>
            <w:pPr>
              <w:spacing w:after="0"/>
              <w:rPr>
                <w:sz w:val="22"/>
                <w:szCs w:val="22"/>
                <w:color w:val="auto"/>
              </w:rPr>
            </w:pPr>
          </w:p>
        </w:tc>
        <w:tc>
          <w:tcPr>
            <w:tcW w:w="2840" w:type="dxa"/>
            <w:vAlign w:val="bottom"/>
            <w:gridSpan w:val="2"/>
          </w:tcPr>
          <w:p>
            <w:pPr>
              <w:jc w:val="right"/>
              <w:ind w:right="1808"/>
              <w:spacing w:after="0"/>
              <w:rPr>
                <w:sz w:val="20"/>
                <w:szCs w:val="20"/>
                <w:color w:val="auto"/>
              </w:rPr>
            </w:pPr>
            <w:r>
              <w:rPr>
                <w:rFonts w:ascii="Times New Roman" w:cs="Times New Roman" w:eastAsia="Times New Roman" w:hAnsi="Times New Roman"/>
                <w:sz w:val="12"/>
                <w:szCs w:val="12"/>
                <w:color w:val="auto"/>
              </w:rPr>
              <w:t>F-6</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6"/>
        </w:trPr>
        <w:tc>
          <w:tcPr>
            <w:tcW w:w="476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7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286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2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(29,755)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325,513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430,483</w:t>
            </w: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Pension and other post-retirement actuarial items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3,643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(7,001)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51,310</w:t>
            </w: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(49,272)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28,165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(41,885)</w:t>
            </w:r>
          </w:p>
        </w:tc>
      </w:tr>
      <w:tr>
        <w:trPr>
          <w:trHeight w:val="142"/>
        </w:trPr>
        <w:tc>
          <w:tcPr>
            <w:tcW w:w="47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(45,629)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21,164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9,425</w:t>
            </w:r>
          </w:p>
        </w:tc>
      </w:tr>
      <w:tr>
        <w:trPr>
          <w:trHeight w:val="142"/>
        </w:trPr>
        <w:tc>
          <w:tcPr>
            <w:tcW w:w="47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(75,384)</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346,677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439,908</w:t>
            </w:r>
          </w:p>
        </w:tc>
      </w:tr>
      <w:tr>
        <w:trPr>
          <w:trHeight w:val="142"/>
        </w:trPr>
        <w:tc>
          <w:tcPr>
            <w:tcW w:w="47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1,395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1,693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1,673</w:t>
            </w: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Vishay stockholders</w:t>
            </w:r>
          </w:p>
        </w:tc>
        <w:tc>
          <w:tcPr>
            <w:tcW w:w="2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(76,779)</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344,984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438,235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9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6"/>
        </w:trPr>
        <w:tc>
          <w:tcPr>
            <w:tcW w:w="4740" w:type="dxa"/>
            <w:vAlign w:val="bottom"/>
          </w:tcPr>
          <w:p>
            <w:pPr>
              <w:spacing w:after="0"/>
              <w:rPr>
                <w:sz w:val="24"/>
                <w:szCs w:val="24"/>
                <w:color w:val="auto"/>
              </w:rPr>
            </w:pPr>
          </w:p>
        </w:tc>
        <w:tc>
          <w:tcPr>
            <w:tcW w:w="2860" w:type="dxa"/>
            <w:vAlign w:val="bottom"/>
            <w:gridSpan w:val="2"/>
          </w:tcPr>
          <w:p>
            <w:pPr>
              <w:jc w:val="right"/>
              <w:ind w:right="1808"/>
              <w:spacing w:after="0"/>
              <w:rPr>
                <w:sz w:val="20"/>
                <w:szCs w:val="20"/>
                <w:color w:val="auto"/>
              </w:rPr>
            </w:pPr>
            <w:r>
              <w:rPr>
                <w:rFonts w:ascii="Times New Roman" w:cs="Times New Roman" w:eastAsia="Times New Roman" w:hAnsi="Times New Roman"/>
                <w:sz w:val="12"/>
                <w:szCs w:val="12"/>
                <w:color w:val="auto"/>
              </w:rPr>
              <w:t>F-7</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474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(29,755)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325,513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430,483</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earnings (loss) to net cash provided by operating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210,645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184,373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163,991</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(1,969)</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(455)</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Inventory write-offs for obsolescence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37,245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37,426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26,898</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66,487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Pensions and other postretirement benefits, net of contributions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(6,036)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(9,559)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(615)</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20,921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16,532</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6,545</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18,874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(23,514)</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36,783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38,677</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20,416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9,442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835</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 in U.S. transition tax liability</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(37,622)</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(27,670)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(14,757)</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repatriation tax liability</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(15,000)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(63,600)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(25,201)</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operating assets and liabilities, net of effects of businesses acquired</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(68,116)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(161,857)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(142,113)</w:t>
            </w:r>
          </w:p>
        </w:tc>
      </w:tr>
      <w:tr>
        <w:trPr>
          <w:trHeight w:val="16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173,702</w:t>
            </w: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365,703</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484,288</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(320,079)</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(329,410)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(325,308)</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1,198</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Purchase of and deposits for businesses, net of cash acquired</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(216,024)</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(13,753)</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(50,000)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(145,327)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(117,523)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(285,956)</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Maturity of short-term investments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164,983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387,898</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132,901</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(1,219)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(1,766)</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(512,462)</w:t>
            </w:r>
          </w:p>
        </w:tc>
        <w:tc>
          <w:tcPr>
            <w:tcW w:w="2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(72,851)</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(528,931)</w:t>
            </w:r>
          </w:p>
        </w:tc>
      </w:tr>
      <w:tr>
        <w:trPr>
          <w:trHeight w:val="142"/>
        </w:trPr>
        <w:tc>
          <w:tcPr>
            <w:tcW w:w="7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convertible senior notes due 2025</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(52,960)</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(386,745)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 (payments) on revolving credit facility</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42,000</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Debt issuance and amendment costs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(1,062)</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(26,823)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capped call</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(94,200)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 to common stockholders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(49,833)</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(50,787)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(52,348)</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Class B common stockholders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(4,839)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(4,839)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(4,839)</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 held in treasury</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(50,406)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(78,684)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(82,972)</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(2,500)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(741)</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noncontrolling interests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(5,500)</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withholding taxes paid when shares withheld for vested equity awards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(4,303)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(3,994)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(2,123)</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(35,403)</w:t>
            </w: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61,061</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(101,023)</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(8,270)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7,981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(17,617)</w:t>
            </w:r>
          </w:p>
        </w:tc>
      </w:tr>
      <w:tr>
        <w:trPr>
          <w:trHeight w:val="142"/>
        </w:trPr>
        <w:tc>
          <w:tcPr>
            <w:tcW w:w="73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(382,433)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361,894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(163,283)</w:t>
            </w: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972,719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610,825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774,108</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590,286</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972,719</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610,825</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ectPr>
          <w:pgSz w:w="11900" w:h="16838" w:orient="portrait"/>
          <w:cols w:equalWidth="0" w:num="1">
            <w:col w:w="11220"/>
          </w:cols>
          <w:pgMar w:left="300" w:top="52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20"/>
        <w:spacing w:after="0" w:line="300" w:lineRule="auto"/>
        <w:rPr>
          <w:sz w:val="20"/>
          <w:szCs w:val="20"/>
          <w:color w:val="auto"/>
        </w:rPr>
      </w:pPr>
      <w:r>
        <w:rPr>
          <w:rFonts w:ascii="Times New Roman" w:cs="Times New Roman" w:eastAsia="Times New Roman" w:hAnsi="Times New Roman"/>
          <w:sz w:val="10"/>
          <w:szCs w:val="10"/>
          <w:color w:val="auto"/>
        </w:rPr>
        <w:t>Balance at December 31, 2021 Net earnings</w:t>
      </w:r>
    </w:p>
    <w:p>
      <w:pPr>
        <w:spacing w:after="0" w:line="1" w:lineRule="exact"/>
        <w:rPr>
          <w:sz w:val="20"/>
          <w:szCs w:val="20"/>
          <w:color w:val="auto"/>
        </w:rPr>
      </w:pPr>
    </w:p>
    <w:p>
      <w:pPr>
        <w:ind w:right="380"/>
        <w:spacing w:after="0" w:line="375" w:lineRule="auto"/>
        <w:rPr>
          <w:sz w:val="20"/>
          <w:szCs w:val="20"/>
          <w:color w:val="auto"/>
        </w:rPr>
      </w:pPr>
      <w:r>
        <w:rPr>
          <w:rFonts w:ascii="Times New Roman" w:cs="Times New Roman" w:eastAsia="Times New Roman" w:hAnsi="Times New Roman"/>
          <w:sz w:val="8"/>
          <w:szCs w:val="8"/>
          <w:color w:val="auto"/>
        </w:rPr>
        <w:t>Other comprehensive income (loss) Distributions to noncontrolling interests</w:t>
      </w:r>
    </w:p>
    <w:p>
      <w:pPr>
        <w:spacing w:after="0" w:line="1" w:lineRule="exact"/>
        <w:rPr>
          <w:sz w:val="20"/>
          <w:szCs w:val="20"/>
          <w:color w:val="auto"/>
        </w:rPr>
      </w:pPr>
    </w:p>
    <w:p>
      <w:pPr>
        <w:ind w:left="80" w:hanging="85"/>
        <w:spacing w:after="0" w:line="271" w:lineRule="auto"/>
        <w:rPr>
          <w:sz w:val="20"/>
          <w:szCs w:val="20"/>
          <w:color w:val="auto"/>
        </w:rPr>
      </w:pPr>
      <w:r>
        <w:rPr>
          <w:rFonts w:ascii="Times New Roman" w:cs="Times New Roman" w:eastAsia="Times New Roman" w:hAnsi="Times New Roman"/>
          <w:sz w:val="8"/>
          <w:szCs w:val="8"/>
          <w:color w:val="auto"/>
        </w:rPr>
        <w:t>Issuance of stock and related tax withholdings for vested restricted stock units (201,039 shares)</w:t>
      </w:r>
    </w:p>
    <w:p>
      <w:pPr>
        <w:spacing w:after="0" w:line="237" w:lineRule="auto"/>
        <w:rPr>
          <w:sz w:val="20"/>
          <w:szCs w:val="20"/>
          <w:color w:val="auto"/>
        </w:rPr>
      </w:pPr>
      <w:r>
        <w:rPr>
          <w:rFonts w:ascii="Times New Roman" w:cs="Times New Roman" w:eastAsia="Times New Roman" w:hAnsi="Times New Roman"/>
          <w:sz w:val="10"/>
          <w:szCs w:val="10"/>
          <w:color w:val="auto"/>
        </w:rPr>
        <w:t>Dividends declared ($0.40 per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Stock compensation expense</w:t>
      </w:r>
    </w:p>
    <w:p>
      <w:pPr>
        <w:spacing w:after="0" w:line="29"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0"/>
          <w:szCs w:val="10"/>
          <w:color w:val="auto"/>
        </w:rPr>
        <w:t>Repurchase of common stock held in treasury (4,240,573 shares)</w:t>
      </w:r>
    </w:p>
    <w:p>
      <w:pPr>
        <w:ind w:right="720"/>
        <w:spacing w:after="0" w:line="293" w:lineRule="auto"/>
        <w:rPr>
          <w:sz w:val="20"/>
          <w:szCs w:val="20"/>
          <w:color w:val="auto"/>
        </w:rPr>
      </w:pPr>
      <w:r>
        <w:rPr>
          <w:rFonts w:ascii="Times New Roman" w:cs="Times New Roman" w:eastAsia="Times New Roman" w:hAnsi="Times New Roman"/>
          <w:sz w:val="10"/>
          <w:szCs w:val="10"/>
          <w:color w:val="auto"/>
        </w:rPr>
        <w:t>Balance at December 31, 2022 Net earnings</w:t>
      </w:r>
    </w:p>
    <w:p>
      <w:pPr>
        <w:spacing w:after="0" w:line="1" w:lineRule="exact"/>
        <w:rPr>
          <w:sz w:val="20"/>
          <w:szCs w:val="20"/>
          <w:color w:val="auto"/>
        </w:rPr>
      </w:pPr>
    </w:p>
    <w:p>
      <w:pPr>
        <w:ind w:right="380"/>
        <w:spacing w:after="0" w:line="375" w:lineRule="auto"/>
        <w:rPr>
          <w:sz w:val="20"/>
          <w:szCs w:val="20"/>
          <w:color w:val="auto"/>
        </w:rPr>
      </w:pPr>
      <w:r>
        <w:rPr>
          <w:rFonts w:ascii="Times New Roman" w:cs="Times New Roman" w:eastAsia="Times New Roman" w:hAnsi="Times New Roman"/>
          <w:sz w:val="8"/>
          <w:szCs w:val="8"/>
          <w:color w:val="auto"/>
        </w:rPr>
        <w:t>Other comprehensive income Distributions to noncontrolling interests</w:t>
      </w:r>
    </w:p>
    <w:p>
      <w:pPr>
        <w:spacing w:after="0" w:line="1" w:lineRule="exact"/>
        <w:rPr>
          <w:sz w:val="20"/>
          <w:szCs w:val="20"/>
          <w:color w:val="auto"/>
        </w:rPr>
      </w:pPr>
    </w:p>
    <w:p>
      <w:pPr>
        <w:ind w:left="80" w:hanging="85"/>
        <w:spacing w:after="0" w:line="271" w:lineRule="auto"/>
        <w:rPr>
          <w:sz w:val="20"/>
          <w:szCs w:val="20"/>
          <w:color w:val="auto"/>
        </w:rPr>
      </w:pPr>
      <w:r>
        <w:rPr>
          <w:rFonts w:ascii="Times New Roman" w:cs="Times New Roman" w:eastAsia="Times New Roman" w:hAnsi="Times New Roman"/>
          <w:sz w:val="8"/>
          <w:szCs w:val="8"/>
          <w:color w:val="auto"/>
        </w:rPr>
        <w:t>Issuance of stock and related tax withholdings for vested restricted stock units (276,130 shares)</w:t>
      </w:r>
    </w:p>
    <w:p>
      <w:pPr>
        <w:spacing w:after="0" w:line="237" w:lineRule="auto"/>
        <w:rPr>
          <w:sz w:val="20"/>
          <w:szCs w:val="20"/>
          <w:color w:val="auto"/>
        </w:rPr>
      </w:pPr>
      <w:r>
        <w:rPr>
          <w:rFonts w:ascii="Times New Roman" w:cs="Times New Roman" w:eastAsia="Times New Roman" w:hAnsi="Times New Roman"/>
          <w:sz w:val="10"/>
          <w:szCs w:val="10"/>
          <w:color w:val="auto"/>
        </w:rPr>
        <w:t>Dividends declared ($0.40 per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Stock compensation expense</w:t>
      </w:r>
    </w:p>
    <w:p>
      <w:pPr>
        <w:spacing w:after="0" w:line="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0"/>
          <w:szCs w:val="10"/>
          <w:color w:val="auto"/>
        </w:rPr>
        <w:t>Repurchase of common stock held in treasury (3,295,308 shares)</w:t>
      </w:r>
    </w:p>
    <w:p>
      <w:pPr>
        <w:ind w:right="560"/>
        <w:spacing w:after="0" w:line="332" w:lineRule="auto"/>
        <w:rPr>
          <w:sz w:val="20"/>
          <w:szCs w:val="20"/>
          <w:color w:val="auto"/>
        </w:rPr>
      </w:pPr>
      <w:r>
        <w:rPr>
          <w:rFonts w:ascii="Times New Roman" w:cs="Times New Roman" w:eastAsia="Times New Roman" w:hAnsi="Times New Roman"/>
          <w:sz w:val="8"/>
          <w:szCs w:val="8"/>
          <w:color w:val="auto"/>
        </w:rPr>
        <w:t>Capped call transactions, net of tax Balance at December 31, 2023</w:t>
      </w:r>
    </w:p>
    <w:p>
      <w:pPr>
        <w:spacing w:after="0"/>
        <w:rPr>
          <w:sz w:val="20"/>
          <w:szCs w:val="20"/>
          <w:color w:val="auto"/>
        </w:rPr>
      </w:pPr>
      <w:r>
        <w:rPr>
          <w:rFonts w:ascii="Times New Roman" w:cs="Times New Roman" w:eastAsia="Times New Roman" w:hAnsi="Times New Roman"/>
          <w:sz w:val="10"/>
          <w:szCs w:val="10"/>
          <w:color w:val="auto"/>
        </w:rPr>
        <w:t>Net earnings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Distributions to noncontrolling interests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Acquisition of noncontrolling interests</w:t>
      </w:r>
    </w:p>
    <w:p>
      <w:pPr>
        <w:ind w:left="80" w:hanging="85"/>
        <w:spacing w:after="0" w:line="258" w:lineRule="auto"/>
        <w:rPr>
          <w:sz w:val="20"/>
          <w:szCs w:val="20"/>
          <w:color w:val="auto"/>
        </w:rPr>
      </w:pPr>
      <w:r>
        <w:rPr>
          <w:rFonts w:ascii="Times New Roman" w:cs="Times New Roman" w:eastAsia="Times New Roman" w:hAnsi="Times New Roman"/>
          <w:sz w:val="8"/>
          <w:szCs w:val="8"/>
          <w:color w:val="auto"/>
        </w:rPr>
        <w:t>Issuance of stock and related tax withholdings for vested restricted stock units (419,252 shares)</w:t>
      </w:r>
    </w:p>
    <w:p>
      <w:pPr>
        <w:spacing w:after="0" w:line="237" w:lineRule="auto"/>
        <w:rPr>
          <w:sz w:val="20"/>
          <w:szCs w:val="20"/>
          <w:color w:val="auto"/>
        </w:rPr>
      </w:pPr>
      <w:r>
        <w:rPr>
          <w:rFonts w:ascii="Times New Roman" w:cs="Times New Roman" w:eastAsia="Times New Roman" w:hAnsi="Times New Roman"/>
          <w:sz w:val="10"/>
          <w:szCs w:val="10"/>
          <w:color w:val="auto"/>
        </w:rPr>
        <w:t>Dividends declared ($0.40 per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Stock compensation expense</w:t>
      </w:r>
    </w:p>
    <w:p>
      <w:pPr>
        <w:spacing w:after="0" w:line="29"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0"/>
          <w:szCs w:val="10"/>
          <w:color w:val="auto"/>
        </w:rPr>
        <w:t>Repurchase of common stock held in treasury (2,397,714 shares)</w:t>
      </w:r>
    </w:p>
    <w:p>
      <w:pPr>
        <w:spacing w:after="0"/>
        <w:rPr>
          <w:sz w:val="20"/>
          <w:szCs w:val="20"/>
          <w:color w:val="auto"/>
        </w:rPr>
      </w:pPr>
      <w:r>
        <w:rPr>
          <w:rFonts w:ascii="Times New Roman" w:cs="Times New Roman" w:eastAsia="Times New Roman" w:hAnsi="Times New Roman"/>
          <w:sz w:val="10"/>
          <w:szCs w:val="10"/>
          <w:color w:val="auto"/>
        </w:rPr>
        <w:t>Balance at December 31,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Convertible</w:t>
            </w:r>
          </w:p>
        </w:tc>
        <w:tc>
          <w:tcPr>
            <w:tcW w:w="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12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Total Vishay</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Excess of Par</w:t>
            </w: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100" w:type="dxa"/>
            <w:vAlign w:val="bottom"/>
          </w:tcPr>
          <w:p>
            <w:pPr>
              <w:spacing w:after="0"/>
              <w:rPr>
                <w:sz w:val="13"/>
                <w:szCs w:val="13"/>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40" w:type="dxa"/>
            <w:vAlign w:val="bottom"/>
          </w:tcPr>
          <w:p>
            <w:pPr>
              <w:spacing w:after="0"/>
              <w:rPr>
                <w:sz w:val="13"/>
                <w:szCs w:val="13"/>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6"/>
              </w:rPr>
              <w:t>Treasury Stock</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8"/>
              </w:rPr>
              <w:t>Total Equity</w:t>
            </w: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13,271</w:t>
            </w:r>
          </w:p>
        </w:tc>
        <w:tc>
          <w:tcPr>
            <w:tcW w:w="24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w:t>
            </w:r>
          </w:p>
        </w:tc>
        <w:tc>
          <w:tcPr>
            <w:tcW w:w="2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1,347,830</w:t>
            </w:r>
          </w:p>
        </w:tc>
        <w:tc>
          <w:tcPr>
            <w:tcW w:w="220" w:type="dxa"/>
            <w:vAlign w:val="bottom"/>
          </w:tcPr>
          <w:p>
            <w:pPr>
              <w:spacing w:after="0"/>
              <w:rPr>
                <w:sz w:val="23"/>
                <w:szCs w:val="23"/>
                <w:color w:val="auto"/>
              </w:rPr>
            </w:pPr>
          </w:p>
        </w:tc>
        <w:tc>
          <w:tcPr>
            <w:tcW w:w="1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401,694</w:t>
            </w:r>
          </w:p>
        </w:tc>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(20,252)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1,743,753</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2,967</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1,746,720</w:t>
            </w: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428,810</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428,810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1,673</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430,483</w:t>
            </w: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9,425</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9,425</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9,425</w:t>
            </w:r>
          </w:p>
        </w:tc>
      </w:tr>
      <w:tr>
        <w:trPr>
          <w:trHeight w:val="165"/>
        </w:trPr>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(741)</w:t>
            </w: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(741)</w:t>
            </w:r>
          </w:p>
        </w:tc>
      </w:tr>
      <w:tr>
        <w:trPr>
          <w:trHeight w:val="177"/>
        </w:trPr>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(2,143)</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(2,123)</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(2,123)</w:t>
            </w: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(57,276)</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(57,187)</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(57,187)</w:t>
            </w:r>
          </w:p>
        </w:tc>
      </w:tr>
      <w:tr>
        <w:trPr>
          <w:trHeight w:val="165"/>
        </w:trPr>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6,545</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6,545</w:t>
            </w:r>
          </w:p>
        </w:tc>
      </w:tr>
      <w:tr>
        <w:trPr>
          <w:trHeight w:val="188"/>
        </w:trPr>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(82,972)</w:t>
            </w:r>
          </w:p>
        </w:tc>
        <w:tc>
          <w:tcPr>
            <w:tcW w:w="6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(82,972)</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(82,972)</w:t>
            </w: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1"/>
        </w:trPr>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13,291</w:t>
            </w:r>
          </w:p>
        </w:tc>
        <w:tc>
          <w:tcPr>
            <w:tcW w:w="2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1,352,321</w:t>
            </w:r>
          </w:p>
        </w:tc>
        <w:tc>
          <w:tcPr>
            <w:tcW w:w="220" w:type="dxa"/>
            <w:vAlign w:val="bottom"/>
          </w:tcPr>
          <w:p>
            <w:pPr>
              <w:spacing w:after="0"/>
              <w:rPr>
                <w:sz w:val="11"/>
                <w:szCs w:val="11"/>
                <w:color w:val="auto"/>
              </w:rPr>
            </w:pPr>
          </w:p>
        </w:tc>
        <w:tc>
          <w:tcPr>
            <w:tcW w:w="1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773,228</w:t>
            </w:r>
          </w:p>
        </w:tc>
        <w:tc>
          <w:tcPr>
            <w:tcW w:w="2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(82,972)</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(10,827)</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2,046,251</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3,899</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2,050,150</w:t>
            </w: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323,820</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323,820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1,693</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325,513</w:t>
            </w: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21,164</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21,164</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21,164</w:t>
            </w:r>
          </w:p>
        </w:tc>
      </w:tr>
      <w:tr>
        <w:trPr>
          <w:trHeight w:val="165"/>
        </w:trPr>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(867)</w:t>
            </w: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(867)</w:t>
            </w:r>
          </w:p>
        </w:tc>
      </w:tr>
      <w:tr>
        <w:trPr>
          <w:trHeight w:val="177"/>
        </w:trPr>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(4,022)</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(3,994)</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(3,994)</w:t>
            </w: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(55,676)</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(55,626)</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(55,626)</w:t>
            </w:r>
          </w:p>
        </w:tc>
      </w:tr>
      <w:tr>
        <w:trPr>
          <w:trHeight w:val="165"/>
        </w:trPr>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16,532</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16,532</w:t>
            </w:r>
          </w:p>
        </w:tc>
      </w:tr>
      <w:tr>
        <w:trPr>
          <w:trHeight w:val="219"/>
        </w:trPr>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(78,684)</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(78,684)</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(78,684)</w:t>
            </w:r>
          </w:p>
        </w:tc>
      </w:tr>
      <w:tr>
        <w:trPr>
          <w:trHeight w:val="113"/>
        </w:trPr>
        <w:tc>
          <w:tcPr>
            <w:tcW w:w="10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(73,382)</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76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9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94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(73,382)</w:t>
            </w:r>
          </w:p>
        </w:tc>
        <w:tc>
          <w:tcPr>
            <w:tcW w:w="120" w:type="dxa"/>
            <w:vAlign w:val="bottom"/>
          </w:tcPr>
          <w:p>
            <w:pPr>
              <w:spacing w:after="0"/>
              <w:rPr>
                <w:sz w:val="9"/>
                <w:szCs w:val="9"/>
                <w:color w:val="auto"/>
              </w:rPr>
            </w:pPr>
          </w:p>
        </w:tc>
        <w:tc>
          <w:tcPr>
            <w:tcW w:w="88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0"/>
                <w:szCs w:val="10"/>
                <w:color w:val="auto"/>
              </w:rPr>
              <w:t>(73,382)</w:t>
            </w: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7"/>
        </w:trPr>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13,319</w:t>
            </w:r>
          </w:p>
        </w:tc>
        <w:tc>
          <w:tcPr>
            <w:tcW w:w="2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1,291,499</w:t>
            </w:r>
          </w:p>
        </w:tc>
        <w:tc>
          <w:tcPr>
            <w:tcW w:w="220" w:type="dxa"/>
            <w:vAlign w:val="bottom"/>
          </w:tcPr>
          <w:p>
            <w:pPr>
              <w:spacing w:after="0"/>
              <w:rPr>
                <w:sz w:val="11"/>
                <w:szCs w:val="11"/>
                <w:color w:val="auto"/>
              </w:rPr>
            </w:pPr>
          </w:p>
        </w:tc>
        <w:tc>
          <w:tcPr>
            <w:tcW w:w="1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1,041,372</w:t>
            </w: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(161,656)</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10,337</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2,196,081</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4,725</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2,200,806</w:t>
            </w: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(31,150)</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(31,150)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1,395</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(29,755)</w:t>
            </w: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(45,629)</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(45,629)</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(45,629)</w:t>
            </w:r>
          </w:p>
        </w:tc>
      </w:tr>
      <w:tr>
        <w:trPr>
          <w:trHeight w:val="142"/>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(2,500)</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(2,500)</w:t>
            </w:r>
          </w:p>
        </w:tc>
      </w:tr>
      <w:tr>
        <w:trPr>
          <w:trHeight w:val="125"/>
        </w:trPr>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(1,880)</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0"/>
                <w:szCs w:val="1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0"/>
                <w:szCs w:val="1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(1,880)</w:t>
            </w:r>
          </w:p>
        </w:tc>
        <w:tc>
          <w:tcPr>
            <w:tcW w:w="1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(3,620)</w:t>
            </w:r>
          </w:p>
        </w:tc>
        <w:tc>
          <w:tcPr>
            <w:tcW w:w="60" w:type="dxa"/>
            <w:vAlign w:val="bottom"/>
          </w:tcPr>
          <w:p>
            <w:pPr>
              <w:spacing w:after="0"/>
              <w:rPr>
                <w:sz w:val="10"/>
                <w:szCs w:val="1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(5,500)</w:t>
            </w:r>
          </w:p>
        </w:tc>
      </w:tr>
      <w:tr>
        <w:trPr>
          <w:trHeight w:val="173"/>
        </w:trPr>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(4,345)</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(4,303)</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(4,303)</w:t>
            </w: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(54,722)</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(54,672)</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(54,672)</w:t>
            </w:r>
          </w:p>
        </w:tc>
      </w:tr>
      <w:tr>
        <w:trPr>
          <w:trHeight w:val="169"/>
        </w:trPr>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20,921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20,921</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20,921</w:t>
            </w:r>
          </w:p>
        </w:tc>
      </w:tr>
      <w:tr>
        <w:trPr>
          <w:trHeight w:val="188"/>
        </w:trPr>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(50,406)</w:t>
            </w:r>
          </w:p>
        </w:tc>
        <w:tc>
          <w:tcPr>
            <w:tcW w:w="6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(50,406)</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(50,406)</w:t>
            </w: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13,361</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1,210</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1,306,245</w:t>
            </w:r>
          </w:p>
        </w:tc>
        <w:tc>
          <w:tcPr>
            <w:tcW w:w="22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955,500</w:t>
            </w:r>
          </w:p>
        </w:tc>
        <w:tc>
          <w:tcPr>
            <w:tcW w:w="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(212,062)</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(35,292)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2,028,962</w:t>
            </w: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2,028,962</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-2702560</wp:posOffset>
            </wp:positionV>
            <wp:extent cx="7178040" cy="91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-2519680</wp:posOffset>
            </wp:positionV>
            <wp:extent cx="7178040" cy="91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-2336800</wp:posOffset>
            </wp:positionV>
            <wp:extent cx="7178040" cy="125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8">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-2119630</wp:posOffset>
            </wp:positionV>
            <wp:extent cx="7178040" cy="91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-1891030</wp:posOffset>
            </wp:positionV>
            <wp:extent cx="7178040" cy="91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-1708150</wp:posOffset>
            </wp:positionV>
            <wp:extent cx="7178040" cy="914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-1525270</wp:posOffset>
            </wp:positionV>
            <wp:extent cx="7178040" cy="1257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2">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-1308100</wp:posOffset>
            </wp:positionV>
            <wp:extent cx="7178040" cy="91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-1062355</wp:posOffset>
            </wp:positionV>
            <wp:extent cx="7178040" cy="742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4">
                      <a:extLst>
                        <a:ext uri="{28A0092B-C50C-407E-A947-70E740481C1C}"/>
                      </a:extLst>
                    </a:blip>
                    <a:srcRect/>
                    <a:stretch>
                      <a:fillRect/>
                    </a:stretch>
                  </pic:blipFill>
                  <pic:spPr bwMode="auto">
                    <a:xfrm>
                      <a:off x="0" y="0"/>
                      <a:ext cx="7178040" cy="74295"/>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-896620</wp:posOffset>
            </wp:positionV>
            <wp:extent cx="7178040" cy="914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-713740</wp:posOffset>
            </wp:positionV>
            <wp:extent cx="7178040" cy="914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-559435</wp:posOffset>
            </wp:positionV>
            <wp:extent cx="7178040" cy="1257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7">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-342265</wp:posOffset>
            </wp:positionV>
            <wp:extent cx="7178040" cy="91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-113665</wp:posOffset>
            </wp:positionV>
            <wp:extent cx="7178040"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2">
            <w:col w:w="1900" w:space="360"/>
            <w:col w:w="8960"/>
          </w:cols>
          <w:pgMar w:left="300" w:top="524" w:right="379" w:bottom="1440" w:gutter="0" w:footer="0" w:header="0"/>
          <w:type w:val="continuous"/>
        </w:sectPr>
      </w:pP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524" w:right="37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Vishay Intertechnology, Inc. (“Vishay” or the “Company”) manufactures one of the world’s largest portfolios of discrete semiconductors and passive electronic components that are essential to innovative designs in the automotive, industrial, military, aerospace, medical, power supplies, telecommunications, consumer products, and computing end markets. Semiconductors include MOSFETs, diodes, and optoelectronic components. Passive components include resistors, inductors, and capacitors.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accounting principles generally accepted in the United States (“GAAP”) requires management to make estimates and assumptions that affect the amounts reported in the consolidated financial statements and accompanying notes. Actual results could differ significantly from those estimates.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Vishay and all of its subsidiaries in which a controlling financial interest is maintained. For those consolidated subsidiaries in which the Company’s ownership is less than 100 percent, the outside stockholders’ interests are shown as noncontrolling interests in the accompanying consolidated balance sheets. Investments in affiliates over which the Company has significant influence but not a controlling interest are carried on the equity basis. Investments in affiliates over which the Company does not have significant influence are accounted for by the cost method. All intercompany transactions, accounts, and profits are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recognizes revenue from contracts with customers when it satisfies the performance obligations within the contract. The Company has framework agreements with many of its customers that contain the terms and conditions of future sales, but do not create enforceable rights or obligations. For revenue recognition purposes, the Company considers the combined purchase orders and the terms and conditions contained within such framework agreements to be contracts.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Payment terms for the Company's sales are generally less than ninety days. Substantially all of the Company's receivables historically have been and are expected to continue to be collected within twelve months of the transfer of products to the customer and the Company expects this to continue going forward. Accordingly, the Company does not recognize a financing component of the transaction price.</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Revenue is measured based on the consideration specified in contracts with customers, and excludes any sales incentives and amounts collected on behalf of third parties. The Company recognizes revenue when it satisfies its performance obligations. The Company analyzes its contracts to determine whether the promise in the contract to construct and transfer goods to the customer is a performance obligation that will be satisfied over time or at a point in time. When the Company's performance does not create an asset with an alternative use to the Company and the Company has an enforceable right to payment for performance completed to date, the Company transfers control of a good or service over time and, therefore, satisfies a performance obligation and recognizes revenue over time. The Company has a limited number of contracts for custom products that meet the criteria to recognize revenue over time.</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contracts contain two performance obligations: delivery of products and warranty protection. The Company does not sell separate, enhanced, or extended warranty coverage, but through its customary business practices, the Company has created implied service-type warranties, which are accounted for as separate performance obligations. Revenue is allocated between these two performance obligations and recognized as the obligations are satisfied. The allocation of revenue to warranty protection is based on an estimate of expected cost plus margin. The delivery of products performance obligation is satisfied and product sales revenue is recognized when the customer takes control of the products. Warranty revenue is deferred and the warranty protection performance obligation is satisfied and revenue is recognized over the warranty period, which is typically less than twenty four months from sale to end customer. The warranty deferred revenue liability is recorded within Other Accrued Expenses and Other Liabilities on the accompanying consolidated balance sheets. The deferred revenue balance associated with the service-type warranty performance obligations and the components that comprise the change in the deferred revenue balance are not significant.</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has a broad line of products that it sells to original equipment manufacturers ("OEMs"), electronic manufacturing services ("EMS") companies, which manufacture for OEMs on an outsourcing basis, and independent distributors that maintain large inventories of electronic components for resale to OEMs and EMS companies.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recognizes revenue on sales to distributors when the distributor takes control of the products ("sold-to" model). The Company has agreements with distributors that allow distributors a limited credit for unsaleable products, which it terms a "scrap allowance." Consistent with industry practice, the Company also has a "stock, ship and debit" program whereby it considers requests by distributors for credits on previously purchased products that remain in distributors' inventory, to enable the distributors to offer more competitive pricing. In addition, the Company has contractual arrangements whereby it provides distributors with protection against price reductions initiated by the Company after product is sold by the Company to the distributor and prior to resale by the distributor.</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recognizes the estimated variable consideration to be received as revenue and records a related accrued expense for the consideration not expected to be received, based upon its estimate of product returns, scrap allowances, "stock, ship and debit" credits, and price protection credits that will be attributable to sales recorded through the end of the period. The Company makes these estimates based upon sales levels to its distributors during the period, inventory levels at the distributors, current and projected market conditions, and historical experience under the programs. The Company utilizes a number of different methodologies and considers several factors when estimating the accruals. Some of the factors considered include sales levels to distributors during the relevant period, inventory levels at the distributors, current and projected market trends and conditions, recent and historical activity under the relevant programs, changes in program policies, and open requests for credits. These procedures require the exercise of significant judgments. The Company believes that it has a reasonable basis to estimate future credits under the programs. See sales returns and allowances accrual activity in Note 9.</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pays commissions to external sales representatives on a per-sale basis. Accordingly, these commissions are expensed as incurred because the future amortization period of the asset that the Company otherwise would have recognized is one year or less. Internal staff are not paid commissions.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elected to account for shipping and handling as activities to fulfill the promise to transfer the product even if the shipping and handling activities are performed after the customer obtains control. The Company does not evaluate whether shipping and handling activities are promised services to its customers. If control transfers and revenue is recognized for the related products before the shipping and handling activities occur, the related costs of those shipping and handling activities is accrued. The Company applies this accounting policy election consistently to similar types of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disaggregated revenue information in Note 15.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Research and development costs are expensed as incurred. The amount charged to expense for research and development (exclusive of purchased in-process research and development) aggregated $120,126, $99,506, and $81,182, for the years ended December 31, 2024, 2023, and 2022, respectively. The Company spends additional amounts for the development of machinery and equipment for new processes and for cost reduction measures.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bases of the Company’s assets and liabilities and are adjusted for changes in tax rates and tax laws when changes are enacted. Valuation allowances have been established for deferred tax assets which the Company believes do not meet GAAP criteria of “more likely than not” to be realized. This criterion requires a level of judgment regarding future taxable income, which may be revised due to changes in market conditions, tax laws, or other factors. If the Company’s assumptions and estimates change in the future, valuation allowances established may be increased, resulting in increased tax expense. Conversely, if the Company is ultimately able to utilize all or a portion of the deferred tax assets for which a valuation allowance has been established, then the related portion of the valuation allowance can be released, resulting in decreased tax expense.</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and its subsidiaries are subject to income taxes in the U.S. and numerous foreign jurisdictions. Significant judgment is required in evaluating the Company’s tax positions and determining its provision for income taxes. 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the Company’s belief that its tax return positions are fully supportable. The Company adjusts these reserves in light of changing facts and circumstances and the provision for income taxes includes the impact of reserve provisions and changes to reserves that are considered appropriate.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These accruals for tax-related uncertainties are based on management’s best estimate of potential tax exposures. When particular matters arise, a number of years may elapse before such matters are audited by tax authorities and finally resolved. Favorable resolution of such matters could be recognized as a reduction to the Company’s effective tax rate in the year of resolution. Unfavorable resolution of any particular issue could increase the effective tax rate and may require the use of cash in the year of resolution. The amount included in current liabilities on the accompanying consolidated balance sheets reflect only amounts expected to be settled in cash within one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5.</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Short-Term Investments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Cash and cash equivalents includes demand deposits and highly liquid investments with maturities of three months or less when purchased. Highly liquid investments with original maturities greater than three months, but less than one year are classified as short-term investments. At December 31, 2024 and 2023, the Company’s short-term investments were comprised of time deposits with financial institutions whose original maturity exceeds three months, but less than one year.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estimates its credit losses on financial instruments using a current expected credit loss model. The Company maintains an allowance for accounts receivable credit losses resulting from the inability of its customers to make required payments. Payment terms for the Company's sales are generally less than ninety days. Substantially all of the Company's trade receivables are collected within twelve months of the transfer of products to the customer and the Company expects this to continue going forward. The credit loss allowance is determined through an analysis of the aging of accounts receivable and assessments of risk that are based on historical trends and an evaluation of the impact of current and projected economic conditions. Receivables from customers with deteriorating financial condition and those over 180 days past due are removed from the pool and evaluated separately. Net credit loss expense (benefit) for accounts receivable was $(214), $369, and $365 for the years ended December 31, 2024, 2023, and 2022, respectively.</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cash equivalents, short-term investments, and restricted investments are accounted for as held-to-maturity debt instruments, at amortized cost. Interest income on these instruments is recorded as "Other income" on the consolidated statements of operations and interest receivable is recognized as a separate asset and recorded in "Prepaid expenses and other current assets" on the consolidated balance sheets. The Company has not experienced a credit loss on the principal or interest receivable of its cash equivalents, short-term investments, or restricted investments. The Company pools its cash equivalents, short-term investments, and restricted investments by credit rating of the issuing financial institution and estimates an allowance for credit losses based on the corporate bond default ratios, evaluation of the impact of current and projected economic conditions, and probability of credit loss. Net credit loss expense for cash equivalents, short-term investments, and restricted investments was immaterial for the years ended December 31, 2024, 2023, and 2022. The Company does not measure an allowance for credit losses on interest receivable. Any uncollectible interest receivable is recognized by reversing interest income within the fiscal quarter that the interest becomes uncollectible.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Inventories are stated at the lower of cost, determined by the first-in, first-out method, or net realizable value. Inventories are adjusted for estimated obsolescence and written down to net realizable value based upon estimates of future demand, technology developments, and market conditions.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Property and equipment is carried at cost and is depreciated principally by the straight-line method based upon the estimated useful lives of the assets. Machinery and equipment are being depreciated over useful lives of seven years to ten years. Buildings and building improvements are being depreciated over useful lives of twenty years to forty years. Construction in progress is not depreciated until the assets are placed in service. The estimated cost to complete construction in progress at December 31, 2024 was approximately $496,100. Included in the estimated cost to complete the Itzehoe, Germany 12-inch wafer fab and the Newport wafer fab expansion construction projects are certain costs for which there are currently no contractual commitments to complete. Depreciation expense was $198,961, $174,457, and $155,864 for the years ended December 31, 2024, 2023, and 2022, respectively. Gains and losses on the disposal of assets which do not qualify for presentation as discontinued operations are included in the determination of operating margin (within selling, general, and administrative expenses). Individually material gains and losses on disposal are separately disclosed in the notes to the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 and Contingencies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commitments for the purchase of assets to complete its construction in progress as disclosed above. The commitment period for substantially all of these purchase commitments is less than one year. The Company expects to have noncancellable purchase commitments with commitment periods in excess of one year associated with its significant facility expansion programs as the programs progress. As of December 31, 2024, there are no material noncancellable commitments associated with these programs.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Liabilities for loss contingencies, including environmental remediation costs, arising from claims, assessments, litigation, fines, penalties, and other sources are recorded when it is probable that a liability has been incurred and the amount of the assessment and/or remediation can be reasonably estimated. The costs for a specific environmental remediation site are discounted if the aggregate amount of the obligation and the amount and timing of the cash payments for that site are fixed or reliably determinable based upon information derived from the remediation plan for that site. Accrued liabilities for environmental matters recorded at December 31, 2024 and 2023 do not include claims against third parties.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Other Intangible Assets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Goodwill represents the excess of the cost of a business acquired over the fair value of the related net assets at the date of acquisition. Certain intangible assets may be assigned indefinite useful lives. Goodwill and indefinite-lived intangible assets are not amortized but rather are tested for impairment at least annually. The Company performs its annual goodwill impairment tests as of the first day of the fourth fiscal quarter. These tests are performed more frequently whenever events or changes in circumstances indicate that the assets might be impaired (see Note 19). The Company's business segments (see Note 15) represent its reporting units for goodwill impairment testing purposes. At December 31, 2024 and 2023, respectively, the Company has no recorded indefinite-lived intangible assets.</w:t>
      </w:r>
    </w:p>
    <w:p>
      <w:pPr>
        <w:spacing w:after="0" w:line="1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Definite-lived intangible assets are amortized over their estimated useful lives. Patents and acquired technology are being amortized over useful lives of seven years to twenty-five years. Capitalized software is amortized over periods of three years to ten years, primarily included in "Costs of products sold" on the consolidated statements of operations. Customer relationships are amortized over useful lives of five years to twenty years. Noncompete agreements are amortized over periods of three years to ten years. The Company continually evaluates the reasonableness of the useful lives of these assets.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GAAP prescribes a quantitative method for determining goodwill impairment. The Company has the option of performing a qualitative assessment before performing the quantitative impairment test. If it is determined, on the basis of qualitative factors, that the fair value of the reporting unit is not more likely than not less than the carrying amount, the quantitative impairment test is not required. If it is determined that the fair value of the reporting unit is more likely than not less than the carrying amount, the quantitative impairment test is required.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determines the fair value of the reporting unit and compares that fair value to the net book value of the reporting unit. The fair value of the reporting unit is determined using various valuation techniques, including a comparable companies market multiple approach and a discounted cash flow analysis (an income approach). If the net book value of the reporting unit were to exceed the fair value, the Company would recognize an impairment charge.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carrying value of long-lived assets held-and-used, other than goodwill and indefinite-lived intangible assets, is evaluated when events or changes in circumstances indicate the carrying value may not be recoverable or the useful life has changed. The carrying value of a long-lived asset group is considered impaired when the total projected undiscounted cash flows from such asset group are separately identifiable and are less than the carrying value. In that event, a loss is recognized based on the amount by which the carrying value exceeds the fair market value of the long-lived asset group. Fair market value is determined primarily using present value techniques based on projected cash flows from the asset group. Losses on long-lived assets held-for-sale, other than goodwill and indefinite-lived intangible assets, are determined in a similar manner, except that fair market values are reduced for anticipated disposal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Securities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Short-term investments and other assets reported on the accompanying consolidated balance sheets include time deposits with financial institutions whose original maturity exceeds three months, but less than one year that are classified as held-to-maturity instruments, and investments in marketable securities that are classified as available-for-sale instruments. The available-for-sale instruments include assets that are held in trust related to the Company’s non-qualified pension and deferred compensation plans (see Note 11) and assets that are intended to fund a portion of the Company’s other postretirement benefit obligations outside of the U.S. These assets are reported at fair value, based on quoted market prices as of the end of the reporting period. Unrealized gains and losses are reported as "Other income (expense)" on the consolidated statements of operations. At the time of sale, the assets that are held in trust related to the Company’s non-qualified pension and deferred compensation plans, any gains (losses) calculated by the specific identification method are recognized as a reduction (increase) to benefits expense, within "Selling, general, and administrative expenses" on the consolidated statements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uses financial instruments in the normal course of its business, including from time to time, derivative financial instruments. Additionally, from time to time, the Company enters into contracts that are not considered derivative financial instruments in their entirety, but that include embedded derivative features.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Other financial instruments include cash and cash equivalents, held-to-maturity short-term investments, accounts receivable, and notes payable. The carrying amounts of these financial instruments reported on the accompanying consolidated balance sheets approximate their fair values due to the short-term nature of these assets and liabilities.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fair value measurement accounting guidance establishes a valuation hierarchy of the inputs used to measure fair value. This hierarchy prioritizes the inputs to valuation techniques used to measure fair value into three broad levels. The following is a brief description of those three levels: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1: Observable inputs such as quoted prices (unadjusted) in active markets for identical assets or liabilities.</w:t>
      </w:r>
    </w:p>
    <w:p>
      <w:pPr>
        <w:spacing w:after="0" w:line="145"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4"/>
          <w:szCs w:val="14"/>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3: Unobservable inputs that reflect the Company’s own assumptions.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asset or liability’s classification within the hierarchy is determined based on the lowest level input that is significant to the fair value measurement.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Compensation costs related to stock-based payment transactions are recognized in the consolidated financial statements. The amount of compensation cost is measured based on the grant-date fair value of the equity (or liability) instruments issued. The Company determines compensation cost for restricted stock units ("RSUs") and phantom stock units based on the grant-date fair value of the underlying common stock adjusted for expected dividends paid over the required vesting period for non-participating awards. Compensation cost is recognized over the period that an officer, employee, or non-employee director is required to provide service in exchange for the award. For RSUs with market conditions, the Company estimates the grant date fair value using a Monte Carlo valuation model and recognizes the expense for the awards over the period in which the condition is assessed regardless of whether the market condition is ultimately achieved. For awards subject to graded vesting, the Company recognizes expense over the service period for each separately vesting portion of the award as if the award was, in-substance, multiple awards. The Company recognizes compensation cost for RSUs that are expected to vest and records cumulative adjustments in the period that the expectation changes.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significant operations outside of the United States. The Company finances most of its operations in Europe and certain locations in Asia in local currencies, and accordingly, these subsidiaries utilize the local currency as their functional currency. The Company’s operations in Israel, the United Kingdom, and most significant locations in Asia are largely financed in U.S. dollars, and accordingly, these subsidiaries utilize the U.S. dollar as their functional currency.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those subsidiaries where the local currency is the functional currency, assets and liabilities on the accompanying consolidated balance sheets have been translated at the rate of exchange as of the balance sheet date. Translation adjustments do not impact the consolidated results of operations and are reported as a separate component of stockholders’ equity. Revenues and expenses are translated at the average exchange rate for the year. While the translation of revenues and expenses into U.S. dollars does not directly impact the statement of operations, the translation effectively increases or decreases the U.S. dollar equivalent of revenues generated and expenses incurred in those foreign currencies.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consolidated results of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records treasury stock at cost, inclusive of fees, commissions and other expenses, when outstanding common shares are repurchased.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Self-Insurance Programs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uses a combination of insurance and self-insurance mechanisms to provide for the potential liabilities for workers’ compensation, general liability, property damage, director and officers’ liability, and vehicle liability.</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part of its self-insurance program for certain risks, the Company created a wholly-owned captive insurance entity in 2007. At December 31, 2024, the captive insurance entity provides only property and general liability insurance, although it is licensed to also provide directors’ and officers’ insurance. The captive insurance entity had no amounts accrued for outstanding claims at December 31, 2024 and 2023.</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Certain investments held by the captive insurance entity are restricted primarily for the purpose of potential insurance claims. Such amounts are recorded in other noncurrent assets, and total $12,001 and $10,571 at December 31, 2024 and 2023, respectively, representing required statutory reserves of the captive insurance entity.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Company leases buildings and machinery and equipment used for manufacturing and/or sales and administrative purposes. The Company is also party to various service, warehousing, and other agreements that it evaluates for potential embedded leases. Substantially all of the Company’s leases are structured and classified as operating leases.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leases assets in each region in which it operates. The Company’s leases are generally denominated in the currency of the leased assets' location, which may not be the functional currency of the subsidiary lessee. Accordingly, the Company remeasures its lease liability and recognizes a transactional gain/loss for leases denominated in currencies other than the functional currency of the subsidiary lessee.</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recognizes right of use assets and lease liabilities for leases greater than twelve months in duration based on the contract consideration for lease components through the term of the lease and the applicable discount rate. Leases with a duration less than or equal to twelve months are considered short-term leases. The Company does not recognize right of use assets or lease liabilities for short-term leases and classifies the expense as short-term lease expense. Variable lease payments based on an index or rate are included in the right of use assets and lease liabilities based on the effective rates at lease commencement. Changes in the rates or indices do not impact the right of use asset or lease liability and are recognized as a component of lease expense in the consolidated statements of operations. Variable lease payments not based on an index or rate are not included in the initial right of use asset and lease liability and are recognized when incurred as a component of lease expense in the consolidated statements of operations.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elected to not separate contract consideration for lease and non-lease components for its building leases. In addition to the noncancellable period of a lease, the Company includes periods covered by extension options it is reasonably certain to exercise, termination options that it is reasonably certain not to exercise, and extension and termination options controlled by the lessor in its determination of the lease term. The Company uses the rate implicit in the contract whenever possible when determining the applicable discount rate. When the implicit rate is not used, the Company employs a portfolio approach based on the duration of the lease. The portfolio lease rates are calculated monthly.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individual lease is considered significant and there are no leases that have not yet commenced that are considered significant.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4 for additional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and Severance Costs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Restructuring and severance costs reflect charges resulting from cost reduction programs implemented by the Company. Restructuring and severance costs include exit costs, severance benefits pursuant to an on-going arrangement, voluntary termination compensation under a defined program, and any related pension curtailment and settlement charges.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recognizes expense for one-time benefits only after management has committed to a plan, the plan is sufficiently detailed to provide the number, classification, and location of employees to be terminated as well as the expected completion date, the plan has been sufficiently communicated to employees such that they are able to determine the type and amount of benefits they will receive if terminated, and it is unlikely that the plan will be significantly changed or withdrawn. If an employee is not required to render service beyond a minimum retention period, the Company recognizes expense once the aforementioned criteria have been met. If an employee is required to render service beyond a minimum retention period, the Company recognizes expense over the period that the employee is required to render future service.</w:t>
      </w:r>
    </w:p>
    <w:p>
      <w:pPr>
        <w:sectPr>
          <w:pgSz w:w="11900" w:h="16838" w:orient="portrait"/>
          <w:cols w:equalWidth="0" w:num="1">
            <w:col w:w="11300"/>
          </w:cols>
          <w:pgMar w:left="300" w:top="121" w:right="299" w:bottom="1440" w:gutter="0" w:footer="0" w:header="0"/>
        </w:sectPr>
      </w:pP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Company recognizes expense for on-going benefit arrangements when the liability is reasonably estimable and considered probable. The separation / early retirement when the employee delivers an irrevocable voluntary termination notice pursuant to a defined Company program. incurred.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additional information.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firstLine="38"/>
        <w:spacing w:after="0" w:line="282" w:lineRule="auto"/>
        <w:rPr>
          <w:sz w:val="20"/>
          <w:szCs w:val="20"/>
          <w:color w:val="auto"/>
        </w:rPr>
      </w:pPr>
      <w:r>
        <w:rPr>
          <w:rFonts w:ascii="Times New Roman" w:cs="Times New Roman" w:eastAsia="Times New Roman" w:hAnsi="Times New Roman"/>
          <w:sz w:val="14"/>
          <w:szCs w:val="14"/>
          <w:color w:val="auto"/>
        </w:rPr>
        <w:t>Company recognizes expense for voluntary The Company recognizes other exit costs as</w:t>
      </w:r>
    </w:p>
    <w:p>
      <w:pPr>
        <w:spacing w:after="0" w:line="630" w:lineRule="exact"/>
        <w:rPr>
          <w:sz w:val="20"/>
          <w:szCs w:val="20"/>
          <w:color w:val="auto"/>
        </w:rPr>
      </w:pPr>
    </w:p>
    <w:p>
      <w:pPr>
        <w:sectPr>
          <w:pgSz w:w="11900" w:h="16838" w:orient="portrait"/>
          <w:cols w:equalWidth="0" w:num="2">
            <w:col w:w="8620" w:space="20"/>
            <w:col w:w="2660"/>
          </w:cols>
          <w:pgMar w:left="300" w:top="121" w:right="299" w:bottom="1440" w:gutter="0" w:footer="0" w:header="0"/>
          <w:type w:val="continuous"/>
        </w:sectPr>
      </w:pP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Guidance Recently Adopted</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ASU No. 2023-07, </w:t>
      </w:r>
      <w:r>
        <w:rPr>
          <w:rFonts w:ascii="Times New Roman" w:cs="Times New Roman" w:eastAsia="Times New Roman" w:hAnsi="Times New Roman"/>
          <w:sz w:val="14"/>
          <w:szCs w:val="14"/>
          <w:i w:val="1"/>
          <w:iCs w:val="1"/>
          <w:color w:val="auto"/>
        </w:rPr>
        <w:t>Improvements to Reportable Segment Disclosures</w:t>
      </w:r>
      <w:r>
        <w:rPr>
          <w:rFonts w:ascii="Times New Roman" w:cs="Times New Roman" w:eastAsia="Times New Roman" w:hAnsi="Times New Roman"/>
          <w:sz w:val="14"/>
          <w:szCs w:val="14"/>
          <w:color w:val="auto"/>
        </w:rPr>
        <w:t>. The ASU adds reportable segment disclosure requirements, primarily through enhanced disclosures about significant segment expenses, requires additional interim disclosures, and requires other segment-related disclosures. The ASU is effective for the Company for annual periods beginning on or after January 1, 2024, and interim periods beginning after January 1, 2025, with the ability to early adopt. The Company adopted the ASU effective January 1, 2024. The adoption of the ASU did not impact the Company's reportable segments' results of operations or cash flows, but increased its segment disclosures.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Guidance Not Yet Adopted</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The ASU requires entities to consistently categorize and provide greater disaggregation of information in the rate reconciliation and income taxes paid. The ASU is effective for the Company for annual periods beginning on or after January 1, 2025, with the ability to early adopt. The Company plans to prospectively adopt the ASU. The adoption of the ASU will not impact the Company's financial position, results of operations, or cash flows, but will increase its income tax disclosures.</w:t>
      </w:r>
    </w:p>
    <w:p>
      <w:pPr>
        <w:spacing w:after="0" w:line="1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The ASU requires entities to provide expanded disclosures about specific income statement expenses, primarily through enhanced disclosures about purchases of inventory, employee compensation, depreciation, and intangible asset amortization. The ASU is effective for the Company for annual periods beginning on or after January 1, 2027, and interim periods beginning after January 1, 2028, with the ability to early adopt. The adoption of the ASU will not impact the Company's financial position, results of operations, or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Certain prior year amounts have been reclassified to conform with current year presentation. Such reclassifications had no effect on reported net earnings attributable to Vishay stockholders, total assets, stockholders' equity, or cash flows.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2 - Acquisition and Divestiture Activities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part of its growth strategy, the Company seeks to expand through targeted acquisitions of other manufacturers of electronic components. These acquisition targets include businesses that have established positions in major markets, reputations for product quality and reliability, and product lines with which the Company has substantial marketing and technical expertise. It also includes certain businesses that possess technologies which the Company expects to further develop and commercialize.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Newport wafer fab</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March 5, 2024, the Company acquired Nexperia’s wafer fabrication facility and operations located in Newport, South Wales, U.K. for $177,457 in cash, net of cash acquired. The wafer fabrication facility is located on 28 acres and is an automotive-certified, 200mm semiconductor wafer fab with capacity to produce more than 30,000 wafers per month. The transaction included contingent payments of $15,000, held in escrow pending receipt of an export license. As of December 31, 2024, the contingency was resolved.</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transaction was funded by Vishay with cash on-hand. To effect the transaction, Vishay acquired a 100% interest in the legal entity Neptune 6 Limited, and its wholly-owned operating subsidiary, Nexperia Newport Limited, which owns and operates the Newport facility. Neptune 6 Limited was renamed "Vishay UK Holdings Limited," and Nexperia Newport Limited was renamed "Vishay Newport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Based on an estimate of fair values, the Company allocated the purchase price of the acquisition as follows: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4"/>
        </w:trPr>
        <w:tc>
          <w:tcPr>
            <w:tcW w:w="10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working deficit (excluding cash and cash equivalents)</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(339)</w:t>
            </w: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148,109</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Other, net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taxes, net</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(7,869)</w:t>
            </w:r>
          </w:p>
        </w:tc>
      </w:tr>
      <w:tr>
        <w:trPr>
          <w:trHeight w:val="160"/>
        </w:trPr>
        <w:tc>
          <w:tcPr>
            <w:tcW w:w="10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identified assets and liabilities</w:t>
            </w: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145,216</w:t>
            </w:r>
          </w:p>
        </w:tc>
        <w:tc>
          <w:tcPr>
            <w:tcW w:w="120" w:type="dxa"/>
            <w:vAlign w:val="bottom"/>
            <w:tcBorders>
              <w:top w:val="single" w:sz="8" w:color="CCEEFF"/>
            </w:tcBorders>
          </w:tcPr>
          <w:p>
            <w:pPr>
              <w:spacing w:after="0"/>
              <w:rPr>
                <w:sz w:val="13"/>
                <w:szCs w:val="13"/>
                <w:color w:val="auto"/>
              </w:rPr>
            </w:pPr>
          </w:p>
        </w:tc>
      </w:tr>
      <w:tr>
        <w:trPr>
          <w:trHeight w:val="162"/>
        </w:trPr>
        <w:tc>
          <w:tcPr>
            <w:tcW w:w="10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Purchase price, net of cash acquired</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177,457</w:t>
            </w:r>
          </w:p>
        </w:tc>
        <w:tc>
          <w:tcPr>
            <w:tcW w:w="120" w:type="dxa"/>
            <w:vAlign w:val="bottom"/>
          </w:tcPr>
          <w:p>
            <w:pPr>
              <w:spacing w:after="0"/>
              <w:rPr>
                <w:sz w:val="14"/>
                <w:szCs w:val="14"/>
                <w:color w:val="auto"/>
              </w:rPr>
            </w:pPr>
          </w:p>
        </w:tc>
      </w:tr>
      <w:tr>
        <w:trPr>
          <w:trHeight w:val="162"/>
        </w:trPr>
        <w:tc>
          <w:tcPr>
            <w:tcW w:w="100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60"/>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32,241</w:t>
            </w:r>
          </w:p>
        </w:tc>
        <w:tc>
          <w:tcPr>
            <w:tcW w:w="120" w:type="dxa"/>
            <w:vAlign w:val="bottom"/>
          </w:tcPr>
          <w:p>
            <w:pPr>
              <w:spacing w:after="0"/>
              <w:rPr>
                <w:sz w:val="13"/>
                <w:szCs w:val="13"/>
                <w:color w:val="auto"/>
              </w:rPr>
            </w:pPr>
          </w:p>
        </w:tc>
      </w:tr>
      <w:tr>
        <w:trPr>
          <w:trHeight w:val="20"/>
        </w:trPr>
        <w:tc>
          <w:tcPr>
            <w:tcW w:w="10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acquired assets and liabilities, including goodwill, are included in the MOSFETs segment. The weighted average useful lives for customer relationships is 3 years. The goodwill associated with this transaction is not deductible for income tax purposes. See Note 19 for information on goodwill impairment testing.</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Company recognized $2,984 of acquisition costs classified as a component of selling, general, and administrative expenses. These costs were recognized in the third and fourth fiscal quarters of 2023 and first fiscal quarter of 2024.</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results and operations of this acquisition have been included in the MOSFETs segment since March 5, 2024. The inclusion of this acquisition did not have material impact on the Company's consolidated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Ametherm, Inc.</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On June 5, 2024, the Company acquired all of the outstanding equity interests of Ametherm, Inc., a Carson City, Nevada-based manufacturer of inrush current limiting solutions and power thermistors, for $31,478 in cash, net of cash acquired. Based on an estimate of fair values, the Company allocated $17,000 of the purchase price to definite-lived intangible assets. After allocating the purchase price to assets acquired and liabilities assumed based on an estimation of their fair values at the date of acquisition, the Company recorded goodwill of $11,685 related to this acquisition. The goodwill related to this acquisition is included in the Resistors reporting unit for goodwill impairment testing. The results and operations of this acquisition have been included in the Resistors segment since June 5,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2 - Acquisition and Divestiture Activities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Birkelbach Kondensatortechnik GmbH</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December 17, 2024 the Company acquired Birkelbach Kondensatortechnik GmbH and certain related assets ("Birkelbach") for $15,839, net of cash acquired. Based in Erndtebrueck, Germany, Birkelbach is a manufacturer of metalized technical films for capacitor dielectrics. Vishay was a major customer of Birkelbach, and the acquired business will be vertically integrated into Vishay's Capacitors segment. Based on a preliminary estimate of fair values, the Company allocated $7,168 of the purchase price to definite-lived intangible assets. After allocating the purchase price to assets acquired and liabilities assumed based on an estimation of the fair values at the date of acquisition, the Company recorded goodwill of $777 related to this acquisition. The goodwill related to this acquisition is included in the Capacitors reporting unit for goodwill impairment testing. The results and operations of this acquisition have been included in the Capacitors segment since December 17,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2023</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On June 30, 2023, the Company acquired substantially all of the assets of Centerline Technologies, LLC, a Massachusetts-based, privately held manufacturer of ceramic components used in many custom parts manufactured by certain of Vishay's Resistors businesses, for $5,003. Based on an estimate of fair values, the Company allocated $1,500 of the purchase price to definite-lived intangible assets. After allocating the purchase price to the assets acquired and liabilities assumed based on an estimation of their fair values at the date of acquisition, the Company recorded goodwill of $2,213 related to this acquisition. The acquired business will be vertically integrated into the Company's Resistors segment, and the goodwill related to this acquisition is included in the Resistors reporting unit for goodwill impairment testing. The results and operations of this acquisition have been included in the Resistors segment since June 30,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2022</w:t>
      </w:r>
    </w:p>
    <w:p>
      <w:pPr>
        <w:spacing w:after="0" w:line="1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On October 28, 2022, the Company acquired all of the outstanding equity interests of MaxPower Semiconductor, Inc., a San Jose, California-based fabless power semiconductor provider dedicated to delivering innovative and cost-effective technologies that optimize power management solutions. The acquisition of MaxPower will enhance Vishay's current and future silicon carbide ("SiC") offerings for fast-growing markets such as electric vehicles.</w:t>
      </w:r>
    </w:p>
    <w:p>
      <w:pPr>
        <w:spacing w:after="0" w:line="1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paid cash of $50,000, net of cash acquired, at closing. The transaction also included possible contingent payments of up to $57,500, which would be payable upon the achievement of certain technology milestones, upon favorable resolution of certain technology licensing matters with a third party, and upon the disposition of MaxPower's investment in an equity affiliate. The purchase price for U.S. GAAP purposes includes the fair value, as of the acquisition date, of certain future contingent payments to non-employee equity holders of MaxPower. The estimated fair value of this contingent consideration as of the acquisition date was $6,851. The contingent consideration liability is included in other accrued expenses and other liabilities in the accompanying balance sheet and is remeasured each reporting period, with changes reported as "Selling, general, and administrative expenses" on the consolidated statements of operations.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 portion of contingent payments to be made to employee equity holders are deemed compensatory in nature. Such payments made to employee equity holders have been or will be, in future periods, recognized as expense, and thus are not included in the U.S. GAAP purchase price.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One of the contingencies was resolved in the fourth quarter of 2023, which resulted in no additional payments to the former employees and stockholders of MaxPower. Additionally, $2,500 has been paid upon the achievement of the first technology milestone. The Company's estimate of the maximum possible total contingent payments is $17,500. See Note 18 for further discussion on the fair value measurement of the contingent consideration liability.</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Based on an estimate of their fair values, the Company allocated $18,600 of the purchase price to definite-lived intangible assets. After allocating the purchase price to the assets acquired and liabilities assumed based on an estimation of their fair values at the date of acquisition, the Company recorded goodwill of $34,246 related to this acquisition. The results and operation of this acquisition have been included in the MOSFETs segment since October 28, 2022. The goodwill related to this acquisition is included in the MOSFETs reporting unit for goodwill impairment testing. See Note 19 for information on goodwill impairment testing.</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3 – Restructuring and Related Activities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September 2024, the Company announced the implementation of restructuring actions designed to optimize the Company’s manufacturing footprint and streamline business decision making.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restructuring actions will be implemented in phases and include:</w:t>
      </w:r>
    </w:p>
    <w:p>
      <w:pPr>
        <w:spacing w:after="0" w:line="163" w:lineRule="exact"/>
        <w:rPr>
          <w:sz w:val="20"/>
          <w:szCs w:val="20"/>
          <w:color w:val="auto"/>
        </w:rPr>
      </w:pPr>
    </w:p>
    <w:p>
      <w:pPr>
        <w:ind w:left="560" w:hanging="321"/>
        <w:spacing w:after="0"/>
        <w:tabs>
          <w:tab w:leader="none" w:pos="5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Selling, general, and administrative functions will be streamlined through the fourth fiscal quarter of 2025.</w:t>
      </w:r>
    </w:p>
    <w:p>
      <w:pPr>
        <w:spacing w:after="0" w:line="17" w:lineRule="exact"/>
        <w:rPr>
          <w:rFonts w:ascii="Times New Roman" w:cs="Times New Roman" w:eastAsia="Times New Roman" w:hAnsi="Times New Roman"/>
          <w:sz w:val="12"/>
          <w:szCs w:val="12"/>
          <w:color w:val="auto"/>
        </w:rPr>
      </w:pPr>
    </w:p>
    <w:p>
      <w:pPr>
        <w:jc w:val="both"/>
        <w:ind w:left="560" w:hanging="321"/>
        <w:spacing w:after="0" w:line="241" w:lineRule="auto"/>
        <w:tabs>
          <w:tab w:leader="none" w:pos="5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closure of three manufacturing facilities. A Diodes segment back-end facility in Shanghai, China is expected to be closed by the end of 2026 with production transfers completed in phases beginning in the fourth quarter of 2025. In addition, two small facilities in the Resistors segment in Fichtelberg, Germany, and in Milwaukee, Wisconsin, are expected to be closed in 2026.</w:t>
      </w:r>
    </w:p>
    <w:p>
      <w:pPr>
        <w:spacing w:after="0" w:line="1" w:lineRule="exact"/>
        <w:rPr>
          <w:rFonts w:ascii="Times New Roman" w:cs="Times New Roman" w:eastAsia="Times New Roman" w:hAnsi="Times New Roman"/>
          <w:sz w:val="12"/>
          <w:szCs w:val="12"/>
          <w:color w:val="auto"/>
        </w:rPr>
      </w:pPr>
    </w:p>
    <w:p>
      <w:pPr>
        <w:ind w:left="560" w:hanging="321"/>
        <w:spacing w:after="0"/>
        <w:tabs>
          <w:tab w:leader="none" w:pos="5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Various changes in manufacturing operations and production transfers.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activity to date related to this program:</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36"/>
        </w:trPr>
        <w:tc>
          <w:tcPr>
            <w:tcW w:w="10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 recorded in 2024</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40,614</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Cash paid</w:t>
            </w:r>
          </w:p>
        </w:tc>
        <w:tc>
          <w:tcPr>
            <w:tcW w:w="4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(8,734)</w:t>
            </w: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4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(1,292)</w:t>
            </w:r>
          </w:p>
        </w:tc>
      </w:tr>
      <w:tr>
        <w:trPr>
          <w:trHeight w:val="160"/>
        </w:trPr>
        <w:tc>
          <w:tcPr>
            <w:tcW w:w="10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30,588</w:t>
            </w:r>
          </w:p>
        </w:tc>
        <w:tc>
          <w:tcPr>
            <w:tcW w:w="120" w:type="dxa"/>
            <w:vAlign w:val="bottom"/>
            <w:tcBorders>
              <w:top w:val="single" w:sz="8" w:color="CCEEFF"/>
            </w:tcBorders>
          </w:tcPr>
          <w:p>
            <w:pPr>
              <w:spacing w:after="0"/>
              <w:rPr>
                <w:sz w:val="13"/>
                <w:szCs w:val="13"/>
                <w:color w:val="auto"/>
              </w:rPr>
            </w:pPr>
          </w:p>
        </w:tc>
      </w:tr>
      <w:tr>
        <w:trPr>
          <w:trHeight w:val="20"/>
        </w:trPr>
        <w:tc>
          <w:tcPr>
            <w:tcW w:w="10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Severance payment terms vary by country, but generally are paid in a lump sum at cessation of employment. Some payments are made over an extended period. The current portion of the liability is $16,070 and is included in other accrued expenses in the accompanying consolidated balance sheet. The non-current portion of the liability is $14,518 and is included in other liabilities in the accompanying consolidated balance sheet.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4 – Leases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net right of use assets and lease liabilities recognized on the consolidated balance sheets for the Company's operating leases as of December 31, 2024 and 2023 are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8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Operating Leases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112,528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121,578</w:t>
            </w: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5,251</w:t>
            </w:r>
          </w:p>
        </w:tc>
        <w:tc>
          <w:tcPr>
            <w:tcW w:w="0" w:type="dxa"/>
            <w:vAlign w:val="bottom"/>
          </w:tcPr>
          <w:p>
            <w:pPr>
              <w:spacing w:after="0"/>
              <w:rPr>
                <w:sz w:val="1"/>
                <w:szCs w:val="1"/>
                <w:color w:val="auto"/>
              </w:rPr>
            </w:pPr>
          </w:p>
        </w:tc>
      </w:tr>
      <w:tr>
        <w:trPr>
          <w:trHeight w:val="16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117,953</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126,829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Operating Leases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22,993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23,647</w:t>
            </w: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2,838</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25,901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26,485</w:t>
            </w: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Operating Leases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91,772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100,489</w:t>
            </w: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60"/>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94,218</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102,830</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120,119</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129,315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 expense is classified in the statements of operations based on asset use. Total lease cost recognized on the consolidated statements of operations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6"/>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Lease expense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3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20" w:type="dxa"/>
            <w:vAlign w:val="bottom"/>
            <w:shd w:val="clear" w:color="auto" w:fill="000000"/>
          </w:tcPr>
          <w:p>
            <w:pPr>
              <w:spacing w:after="0"/>
              <w:rPr>
                <w:sz w:val="2"/>
                <w:szCs w:val="2"/>
                <w:color w:val="auto"/>
              </w:rPr>
            </w:pPr>
          </w:p>
        </w:tc>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expense</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29,787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27,909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25,606</w:t>
            </w:r>
          </w:p>
        </w:tc>
        <w:tc>
          <w:tcPr>
            <w:tcW w:w="0" w:type="dxa"/>
            <w:vAlign w:val="bottom"/>
          </w:tcPr>
          <w:p>
            <w:pPr>
              <w:spacing w:after="0"/>
              <w:rPr>
                <w:sz w:val="1"/>
                <w:szCs w:val="1"/>
                <w:color w:val="auto"/>
              </w:rPr>
            </w:pPr>
          </w:p>
        </w:tc>
      </w:tr>
      <w:tr>
        <w:trPr>
          <w:trHeight w:val="162"/>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Short-term lease expense</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988</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Variable lease expense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0"/>
        </w:trPr>
        <w:tc>
          <w:tcPr>
            <w:tcW w:w="820" w:type="dxa"/>
            <w:vAlign w:val="bottom"/>
            <w:shd w:val="clear" w:color="auto" w:fill="CCEEFF"/>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lease expense</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31,332</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29,463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26,942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paid $29,744, $28,164, and $24,074 for its operating leases during the years ended December 31, 2024, 2023, and 2022, respectively, which are included in operating cash flows on the consolidated statements of cash flows. The weighted-average remaining lease term for the Company's operating leases is 8.7 years and the weighted-average discount rate is 6.6% as of December 31,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The undiscounted future lease payments for the Company's operating lease liabilities are as follows:</w:t>
            </w:r>
          </w:p>
        </w:tc>
        <w:tc>
          <w:tcPr>
            <w:tcW w:w="2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36"/>
        </w:trPr>
        <w:tc>
          <w:tcPr>
            <w:tcW w:w="79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5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26,681</w:t>
            </w:r>
          </w:p>
        </w:tc>
      </w:tr>
      <w:tr>
        <w:trPr>
          <w:trHeight w:val="16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5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22,803</w:t>
            </w:r>
          </w:p>
        </w:tc>
      </w:tr>
      <w:tr>
        <w:trPr>
          <w:trHeight w:val="16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2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19,266</w:t>
            </w:r>
          </w:p>
        </w:tc>
      </w:tr>
      <w:tr>
        <w:trPr>
          <w:trHeight w:val="16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25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15,724</w:t>
            </w:r>
          </w:p>
        </w:tc>
      </w:tr>
      <w:tr>
        <w:trPr>
          <w:trHeight w:val="16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2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13,690</w:t>
            </w:r>
          </w:p>
        </w:tc>
      </w:t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254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60,925</w:t>
            </w: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undiscounted future lease payments presented in the table above include payments through the term of the lease, which may include periods beyond the noncancellable term. The difference between the total payments above and the lease liability balance is due to the discount rate used to calculate lease liabilities.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Tax Laws and Regulations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United States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22, 2017, the Tax Cuts and Jobs Act (the "TCJA") was enacted in the United States. Under previous law, companies could indefinitely defer U.S. income taxation on unremitted foreign earnings. The TCJA imposed a one-time transition tax on deferred foreign earnings, payable in defined increments over eight years. Installments of $37,622 were paid in 2024, $27,670 were paid in 2023, and $14,757 in each of 2022, 2021, 2020, 2019, and 2018. The Company expects to pay the final installment payment of $47,027 in 2025.</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U.S. Internal Revenue Service continues to issue regulations to address the provisions of the TCJA. The Company has elected to account for Global Intangible Low-Taxed Income ("GILTI") tax in the period in which it is incurred and, therefore, does not provide any deferred taxes in the consolidated financial statements at December 31, 2024, 2023, or 2022.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Indefinite Reversal Assertion</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Company made the determination during the fourth fiscal quarter of 2021 that substantially all unremitted foreign earnings in Israel were no longer indefinitely reinvested. The Company repatriated $81,243 to the United States in 2022 pursuant to this repatriation program. The Company paid withholding taxes, foreign taxes, and Israeli clawback taxes of $25,201 due to the repatriation.</w:t>
      </w:r>
    </w:p>
    <w:p>
      <w:pPr>
        <w:spacing w:after="0" w:line="2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Company made the determination during the fourth fiscal quarter of 2022 that substantially all unremitted earnings in Germany were no longer indefinitely reinvested. Additional tax expense was recorded during the fourth fiscal quarter of 2022 to accrue the $59,642 of withholding taxes necessary to distribute these approximately $360,000 of accumulated earnings to the United States.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These changes in this indefinite reinvestment assertion provide greater access to the Company's worldwide cash balances to fund its growth plan and its Stockholder Return Policy. While the change in assertion provides access to these balances, these amounts will be repatriated only as needed. The withholding taxes associated with any distribution to the United States is payable upon distribution. During the fourth fiscal quarter of 2023, the Company repatriated $325,000 of accumulated earnings to the United States and paid withholding taxes, in Germany and Israel, of $63,600. The Company repatriated $120,000 of accumulated earnings to the United States in the second fiscal quarter of 2024 and paid withholding taxes, in Israel, of $15,000.</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At December 31, 2024, approximately $204,407 of German earnings and approximately $310,945 of Israeli earnings are deemed not indefinitely reinvested. The aggregate tax liability recorded for unremitted earnings at December 31, 2024 is approximately $77,000, which includes amounts accrued subsequent to the changes in indefinite reinvestment determinations described above.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There are amounts of unremitted foreign earnings in countries other than Israel and Germany, which continue to be reinvested indefinitely, and the Company has made no provision for incremental foreign income taxes and withholding taxes payable to foreign jurisdictions related to these amounts. Determination of the amount of the unrecognized deferred foreign tax liability for these amounts is not practicable because of the complexities associated with its hypothetical calculation.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5 – Income Taxes (continued)</w:t>
            </w:r>
          </w:p>
        </w:tc>
        <w:tc>
          <w:tcPr>
            <w:tcW w:w="2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taxes consists of the following components:</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60"/>
        </w:trPr>
        <w:tc>
          <w:tcPr>
            <w:tcW w:w="2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r>
      <w:tr>
        <w:trPr>
          <w:trHeight w:val="16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Domestic</w:t>
            </w:r>
          </w:p>
        </w:tc>
        <w:tc>
          <w:tcPr>
            <w:tcW w:w="310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(172,519)</w:t>
            </w:r>
          </w:p>
        </w:tc>
        <w:tc>
          <w:tcPr>
            <w:tcW w:w="3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67,938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132,426</w:t>
            </w:r>
          </w:p>
        </w:tc>
      </w:tr>
      <w:tr>
        <w:trPr>
          <w:trHeight w:val="162"/>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170,130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399,464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461,079</w:t>
            </w:r>
          </w:p>
        </w:tc>
      </w:tr>
      <w:tr>
        <w:trPr>
          <w:trHeight w:val="200"/>
        </w:trPr>
        <w:tc>
          <w:tcPr>
            <w:tcW w:w="2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593,505</w:t>
            </w:r>
          </w:p>
        </w:tc>
        <w:tc>
          <w:tcPr>
            <w:tcW w:w="120" w:type="dxa"/>
            <w:vAlign w:val="bottom"/>
            <w:shd w:val="clear" w:color="auto" w:fill="CCEEFF"/>
          </w:tcPr>
          <w:p>
            <w:pPr>
              <w:spacing w:after="0"/>
              <w:rPr>
                <w:sz w:val="17"/>
                <w:szCs w:val="17"/>
                <w:color w:val="auto"/>
              </w:rPr>
            </w:pPr>
          </w:p>
        </w:tc>
      </w:tr>
      <w:tr>
        <w:trPr>
          <w:trHeight w:val="308"/>
        </w:trPr>
        <w:tc>
          <w:tcPr>
            <w:tcW w:w="44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Significant components of income taxes are as follows:</w:t>
            </w:r>
          </w:p>
        </w:tc>
        <w:tc>
          <w:tcPr>
            <w:tcW w:w="27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8"/>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322"/>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Federal</w:t>
            </w:r>
          </w:p>
        </w:tc>
        <w:tc>
          <w:tcPr>
            <w:tcW w:w="310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1,936</w:t>
            </w: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24,423</w:t>
            </w:r>
          </w:p>
        </w:tc>
      </w:tr>
      <w:tr>
        <w:trPr>
          <w:trHeight w:val="162"/>
        </w:trPr>
        <w:tc>
          <w:tcPr>
            <w:tcW w:w="4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State and local</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3,313</w:t>
            </w:r>
          </w:p>
        </w:tc>
      </w:tr>
      <w:tr>
        <w:trPr>
          <w:trHeight w:val="162"/>
        </w:trPr>
        <w:tc>
          <w:tcPr>
            <w:tcW w:w="4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2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63,537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152,343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121,810</w:t>
            </w:r>
          </w:p>
        </w:tc>
      </w:tr>
      <w:tr>
        <w:trPr>
          <w:trHeight w:val="20"/>
        </w:trPr>
        <w:tc>
          <w:tcPr>
            <w:tcW w:w="21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65,880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168,706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149,546</w:t>
            </w:r>
          </w:p>
        </w:tc>
      </w:tr>
      <w:tr>
        <w:trPr>
          <w:trHeight w:val="16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w:t>
            </w:r>
          </w:p>
        </w:tc>
        <w:tc>
          <w:tcPr>
            <w:tcW w:w="2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4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Federal</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(24,492)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(40,136)</w:t>
            </w:r>
          </w:p>
        </w:tc>
      </w:tr>
      <w:tr>
        <w:trPr>
          <w:trHeight w:val="162"/>
        </w:trPr>
        <w:tc>
          <w:tcPr>
            <w:tcW w:w="4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State and local</w:t>
            </w:r>
          </w:p>
        </w:tc>
        <w:tc>
          <w:tcPr>
            <w:tcW w:w="2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(788)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532</w:t>
            </w:r>
          </w:p>
        </w:tc>
      </w:tr>
      <w:tr>
        <w:trPr>
          <w:trHeight w:val="162"/>
        </w:trPr>
        <w:tc>
          <w:tcPr>
            <w:tcW w:w="4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(13,234)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(18,295)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53,080</w:t>
            </w:r>
          </w:p>
        </w:tc>
      </w:tr>
      <w:tr>
        <w:trPr>
          <w:trHeight w:val="160"/>
        </w:trPr>
        <w:tc>
          <w:tcPr>
            <w:tcW w:w="2120" w:type="dxa"/>
            <w:vAlign w:val="bottom"/>
            <w:tcBorders>
              <w:bottom w:val="single" w:sz="8" w:color="CCEEFF"/>
            </w:tcBorders>
            <w:shd w:val="clear" w:color="auto" w:fill="CCEEFF"/>
          </w:tcPr>
          <w:p>
            <w:pPr>
              <w:spacing w:after="0"/>
              <w:rPr>
                <w:sz w:val="13"/>
                <w:szCs w:val="13"/>
                <w:color w:val="auto"/>
              </w:rPr>
            </w:pPr>
          </w:p>
        </w:tc>
        <w:tc>
          <w:tcPr>
            <w:tcW w:w="2340" w:type="dxa"/>
            <w:vAlign w:val="bottom"/>
            <w:tcBorders>
              <w:bottom w:val="single" w:sz="8" w:color="CCEEFF"/>
            </w:tcBorders>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(38,514)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(26,817)</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13,476</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income tax expense</w:t>
            </w:r>
          </w:p>
        </w:tc>
        <w:tc>
          <w:tcPr>
            <w:tcW w:w="2880" w:type="dxa"/>
            <w:vAlign w:val="bottom"/>
            <w:gridSpan w:val="2"/>
          </w:tcPr>
          <w:p>
            <w:pPr>
              <w:spacing w:after="0"/>
              <w:rPr>
                <w:sz w:val="13"/>
                <w:szCs w:val="1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27,366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141,889</w:t>
            </w:r>
          </w:p>
        </w:tc>
        <w:tc>
          <w:tcPr>
            <w:tcW w:w="100" w:type="dxa"/>
            <w:vAlign w:val="bottom"/>
          </w:tcPr>
          <w:p>
            <w:pPr>
              <w:spacing w:after="0"/>
              <w:rPr>
                <w:sz w:val="13"/>
                <w:szCs w:val="1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163,022</w:t>
            </w:r>
          </w:p>
        </w:tc>
      </w:tr>
      <w:tr>
        <w:trPr>
          <w:trHeight w:val="20"/>
        </w:trPr>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6"/>
        </w:trPr>
        <w:tc>
          <w:tcPr>
            <w:tcW w:w="21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100" w:type="dxa"/>
            <w:vAlign w:val="bottom"/>
            <w:gridSpan w:val="3"/>
          </w:tcPr>
          <w:p>
            <w:pPr>
              <w:jc w:val="right"/>
              <w:ind w:right="1728"/>
              <w:spacing w:after="0"/>
              <w:rPr>
                <w:sz w:val="20"/>
                <w:szCs w:val="20"/>
                <w:color w:val="auto"/>
              </w:rPr>
            </w:pPr>
            <w:r>
              <w:rPr>
                <w:rFonts w:ascii="Times New Roman" w:cs="Times New Roman" w:eastAsia="Times New Roman" w:hAnsi="Times New Roman"/>
                <w:sz w:val="12"/>
                <w:szCs w:val="12"/>
                <w:color w:val="auto"/>
              </w:rPr>
              <w:t>F-22</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
        </w:trPr>
        <w:tc>
          <w:tcPr>
            <w:tcW w:w="21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 (continued)</w:t>
      </w:r>
    </w:p>
    <w:p>
      <w:pPr>
        <w:spacing w:after="0" w:line="1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for income tax purposes. Significant components of the Company’s deferred tax assets and liabilities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8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304"/>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Pension and other retiree obligations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27,779</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29,400</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26,004</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23,836</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74,244</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81,497</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credit carryforwards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67,192</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54,363</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25,582</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17,829</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23,886</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20,039</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accruals and reserves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36,232</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25,179</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26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280,919</w:t>
            </w:r>
          </w:p>
        </w:tc>
        <w:tc>
          <w:tcPr>
            <w:tcW w:w="3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252,143</w:t>
            </w:r>
          </w:p>
        </w:tc>
      </w:tr>
      <w:tr>
        <w:trPr>
          <w:trHeight w:val="162"/>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(92,876)</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(99,663)</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188,043</w:t>
            </w:r>
          </w:p>
        </w:tc>
        <w:tc>
          <w:tcPr>
            <w:tcW w:w="3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152,480</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Property and equipment</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(20,032)</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(9,429)</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deductible goodwill</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(7,889)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(7,040)</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Intangibles other than goodwill</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(8,937)</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(6,327)</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Earnings not indefinitely reinvested</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(78,977)</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(88,004)</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 net</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(8,802)</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r>
      <w:tr>
        <w:trPr>
          <w:trHeight w:val="160"/>
        </w:trPr>
        <w:tc>
          <w:tcPr>
            <w:tcW w:w="8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(124,637)</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(110,862)</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r>
      <w:tr>
        <w:trPr>
          <w:trHeight w:val="18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deferred tax assets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63,406</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41,618</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makes significant judgments regarding the realizability of its deferred tax assets (principally net operating losses and tax credits). The carrying value of deferred tax assets is based on the Company’s assessment that it is more likely than not that the Company will realize these assets after consideration of all available positive and negative evidence.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income tax expense at the U.S. federal statutory income tax rate to actual income tax provision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at statutory rate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(502)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98,154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124,636</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taxes, net of U.S. federal tax benefit</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(301)</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(1,487)</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3,038</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foreign operations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(962)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9,260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13,422</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13,962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on earnings not indefinitely reinvested</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37,061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71,141</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allowance on deferred tax assets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(1,770)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(58,696)</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income taxable in the U.S.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16,571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11,829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14,925</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Foreign tax credit</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(11,506)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(29,997)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(20,408)</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Base Erosion Anti-Abuse Tax</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16,837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20,918</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2,002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(5,954)</w:t>
            </w:r>
          </w:p>
        </w:tc>
      </w:tr>
      <w:tr>
        <w:trPr>
          <w:trHeight w:val="20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 tax expense</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27,366</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141,889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163,022</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 (continued)</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Vishay operates in a global environment with significant operations in various locations outside the United States. Accordingly, the consolidated income tax rate is a composite rate reflecting our earnings and the applicable tax rates in the various locations where we operate. Part of Vishay's historical strategy has been to achieve cost savings through the transfer and expansion of manufacturing operations to countries where it can take advantage of lower labor costs. With the reduction in the U.S. statutory rate to 21% beginning January 1, 2018, Vishay expects that its effective tax rate will be higher than the U.S. statutory rate, excluding unusual transactions.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Income tax expense for the year ended December 31, 2022 includes certain discrete tax items for changes in uncertain tax positions, valuation allowances, tax rates, and other related items. These items total $20,032 in 2022. There were no unusual tax items for the years ended December 31, 2024 and 2023.</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the year ended December 31, 2022, the discrete items include tax expense of $59,642 due to the Company's change in its assertion that earnings of its subsidiaries in Germany are indefinitely reinvested, tax benefits of $5,941 for changes in uncertain tax positions following the resolution of a tax audit and a $33,669 tax benefit recognized upon the release of a valuation allowance.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2024, the Company had the following significant net operating loss carryforwards for tax purposes:</w:t>
            </w: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6"/>
        </w:trPr>
        <w:tc>
          <w:tcPr>
            <w:tcW w:w="7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Expires</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Belgium</w:t>
            </w:r>
          </w:p>
        </w:tc>
        <w:tc>
          <w:tcPr>
            <w:tcW w:w="13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144,966</w:t>
            </w:r>
          </w:p>
        </w:tc>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3,576</w:t>
            </w:r>
          </w:p>
        </w:tc>
        <w:tc>
          <w:tcPr>
            <w:tcW w:w="1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Italy</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8,356</w:t>
            </w:r>
          </w:p>
        </w:tc>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Japan</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3,592</w:t>
            </w: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2025 - 2033</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Netherlands</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9,452</w:t>
            </w:r>
          </w:p>
        </w:tc>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7,676</w:t>
            </w: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2027 - 2028</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76,940</w:t>
            </w:r>
          </w:p>
        </w:tc>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California</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15,841</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2028 - 2037</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Pennsylvania</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497,048</w:t>
            </w: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2025 - 2044</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Arizona</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15,999</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2032 - 2044</w:t>
            </w:r>
          </w:p>
        </w:tc>
      </w:tr>
      <w:tr>
        <w:trPr>
          <w:trHeight w:val="33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2024, the Company had the following significant tax credit carryforwards available:</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Expires</w:t>
            </w:r>
          </w:p>
        </w:tc>
      </w:tr>
      <w:tr>
        <w:trPr>
          <w:trHeight w:val="162"/>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Foreign Tax Credit</w:t>
            </w:r>
          </w:p>
        </w:tc>
        <w:tc>
          <w:tcPr>
            <w:tcW w:w="55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42,425</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2028 - 2034</w:t>
            </w: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California Research Credit</w:t>
            </w:r>
          </w:p>
        </w:tc>
        <w:tc>
          <w:tcPr>
            <w:tcW w:w="55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22,822</w:t>
            </w:r>
          </w:p>
        </w:tc>
        <w:tc>
          <w:tcPr>
            <w:tcW w:w="1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550"/>
        </w:trPr>
        <w:tc>
          <w:tcPr>
            <w:tcW w:w="3540" w:type="dxa"/>
            <w:vAlign w:val="bottom"/>
          </w:tcPr>
          <w:p>
            <w:pPr>
              <w:spacing w:after="0"/>
              <w:rPr>
                <w:sz w:val="24"/>
                <w:szCs w:val="24"/>
                <w:color w:val="auto"/>
              </w:rPr>
            </w:pPr>
          </w:p>
        </w:tc>
        <w:tc>
          <w:tcPr>
            <w:tcW w:w="5580" w:type="dxa"/>
            <w:vAlign w:val="bottom"/>
          </w:tcPr>
          <w:p>
            <w:pPr>
              <w:jc w:val="right"/>
              <w:ind w:right="3294"/>
              <w:spacing w:after="0"/>
              <w:rPr>
                <w:sz w:val="20"/>
                <w:szCs w:val="20"/>
                <w:color w:val="auto"/>
              </w:rPr>
            </w:pPr>
            <w:r>
              <w:rPr>
                <w:rFonts w:ascii="Times New Roman" w:cs="Times New Roman" w:eastAsia="Times New Roman" w:hAnsi="Times New Roman"/>
                <w:sz w:val="12"/>
                <w:szCs w:val="12"/>
                <w:color w:val="auto"/>
              </w:rPr>
              <w:t>F-24</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
        </w:trPr>
        <w:tc>
          <w:tcPr>
            <w:tcW w:w="3540" w:type="dxa"/>
            <w:vAlign w:val="bottom"/>
            <w:tcBorders>
              <w:bottom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 (continued)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income taxes paid were $136,784, $224,232, and $134,199 for the years ended December 31, 2024, 2023, and 2022, respectively. Net income taxes paid for the years ended December 31, 2024 and 2023 include withholding taxes for repatriation activity. Net income taxes paid for the years ended December 31, 2024, 2023, and 2022 also includes $37,622, $27,670, and $14,757, respectively, for the TCJA transition tax.</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the liabilities associated with unrecognized tax benefits: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7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60"/>
        </w:trPr>
        <w:tc>
          <w:tcPr>
            <w:tcW w:w="7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12,857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18,429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26,719</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Addition based on tax positions related to the current year</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1,210</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 based on tax positions related to prior years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19,905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5,455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3,197</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(185)</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(366)</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 for settlements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(9,420)</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Reduction for lapses of statute of limitation</w:t>
            </w: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(999)</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(2,467)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(1,701)</w:t>
            </w:r>
          </w:p>
        </w:tc>
      </w:tr>
      <w:tr>
        <w:trPr>
          <w:trHeight w:val="20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end of year</w:t>
            </w:r>
          </w:p>
        </w:tc>
        <w:tc>
          <w:tcPr>
            <w:tcW w:w="74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32,500</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18,429</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2024, the Company recorded a deferred tax asset and offsetting liability for unrecognized tax benefits related to an acquired net operating loss carryover.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unrecognized tax benefits of $32,500 and $12,857, as of December 31, 2024 and 2023, respectively, would reduce the effective tax rate if recognized.</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Company recognizes interest and penalties related to unrecognized tax benefits in income tax expense. At December 31, 2024 and 2023, the Company had accrued interest and penalties related to the unrecognized tax benefits of $1,564 and $1,947, respectively. During the years ended December 31, 2024, 2023, and 2022, the Company recognized $303, $821, and $376, respectively, in interest and penalties.</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and its subsidiaries file U.S. federal income tax returns, as well as tax returns in multiple states and foreign jurisdictions. During the years ended December 31, 2024, 2023, and 2022, certain tax examinations were concluded and certain statutes of limitations lapsed. The tax provision for those years includes adjustments related to the resolution of these matters, as reflected in the table above. During 2023, the Company settled an examination of its U.S. federal income tax returns for the years ended December 31, 2017 through 2019. The federal income tax returns for the years 2021 through 2023 remain subject to examination. The tax returns of significant non-U.S. subsidiaries currently under examination are located in the following jurisdictions: Israel (2021), Germany (2017 through 2021), India (2004 through 2021), and Philippines (2017 through 2023). The Company and its subsidiaries also file income tax returns in other taxing jurisdictions in the U.S. and around the world, many of which are still open to examination.</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timing of the resolution of income tax examinations is highly uncertain, as are the amounts and timing of tax payments that result from such examinations. These events could cause large fluctuations in the balance sheet classification of current and non-current unrecognized tax benefits. The Company believes that in the next 12 months it is reasonably possible that certain income tax examinations will conclude or the statutes of limitation on certain income tax periods open to examination will expire, or both. Given the uncertainties described above, the Company can only determine an estimate of potential decreases in unrecognized tax benefits ranging from $8,634 to $8,744.</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Long-Term Debt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 consists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5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15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15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6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41,911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95,102</w:t>
            </w:r>
          </w:p>
        </w:tc>
      </w:tr>
      <w:tr>
        <w:trPr>
          <w:trHeight w:val="16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senior notes, due 2030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w:t>
            </w:r>
          </w:p>
        </w:tc>
      </w:tr>
      <w:tr>
        <w:trPr>
          <w:trHeight w:val="16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financing costs</w:t>
            </w: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(22,892)</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(26,914)</w:t>
            </w:r>
          </w:p>
        </w:tc>
      </w:tr>
      <w:tr>
        <w:trPr>
          <w:trHeight w:val="160"/>
        </w:trPr>
        <w:tc>
          <w:tcPr>
            <w:tcW w:w="1560" w:type="dxa"/>
            <w:vAlign w:val="bottom"/>
            <w:shd w:val="clear" w:color="auto" w:fill="CCEEFF"/>
          </w:tcPr>
          <w:p>
            <w:pPr>
              <w:spacing w:after="0"/>
              <w:rPr>
                <w:sz w:val="13"/>
                <w:szCs w:val="13"/>
                <w:color w:val="auto"/>
              </w:rPr>
            </w:pPr>
          </w:p>
        </w:tc>
        <w:tc>
          <w:tcPr>
            <w:tcW w:w="7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905,019</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818,188</w:t>
            </w:r>
          </w:p>
        </w:tc>
        <w:tc>
          <w:tcPr>
            <w:tcW w:w="120" w:type="dxa"/>
            <w:vAlign w:val="bottom"/>
            <w:shd w:val="clear" w:color="auto" w:fill="CCEEFF"/>
          </w:tcPr>
          <w:p>
            <w:pPr>
              <w:spacing w:after="0"/>
              <w:rPr>
                <w:sz w:val="13"/>
                <w:szCs w:val="13"/>
                <w:color w:val="auto"/>
              </w:rPr>
            </w:pPr>
          </w:p>
        </w:tc>
      </w:tr>
      <w:tr>
        <w:trPr>
          <w:trHeight w:val="16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current portion</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156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905,019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818,188</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maintains a credit agreement with a consortium of banks led by JPMorgan Chase Bank, N.A., as administrative agent, and the lenders (the "Credit Facility"). In May 2023, the Company entered into an Amendment and Restatement Agreement, which provides an aggregate commitment of $750,000 of revolving loans available until May 8, 2028. The Credit Facility also provides for the ability of Vishay to request up to $300,000 of incremental facilities, subject to the satisfaction of certain conditions, which could take the form of additional revolving commitments, incremental “term loan A” or “term loan B” facilities, or incremental equivalent debt.</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U.S. Dollar borrowings under the Credit Facility bear interest at Secured Overnight Financing Rate ("SOFR") plus a credit spread and an interest margin. The Credit Facility also allows for borrowings in euro, British sterling, and Japanese yen, subject to a $300,000 limit. Borrowings in foreign currency bear interest at a local reference rate plus an interest margin. The applicable interest margin is based on the Company's total leverage ratio. Based on the Company's current total leverage ratio, borrowings bear interest at SOFR plus 2.10%, including the applicable credit spread. The Company also pays a commitment fee, also based on its total leverage ratio, on undrawn amounts. The undrawn commitment fee, based on the Company's total current leverage ratio, is 0.35% per annum.</w:t>
      </w:r>
    </w:p>
    <w:p>
      <w:pPr>
        <w:spacing w:after="0" w:line="2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Credit Facility requires the maintenance of financial covenant ratios. For compliance purposes, pursuant to the Credit Facility, the leverage ratio is computed on a net basis, reducing the measure of outstanding debt by up to $250,000 of unrestricted cash. The Company must maintain a net leverage ratio of at least 3.25 to 1.00. On August 15, 2024, the Company entered into an amendment to the Credit Facility that redefined the Interest Coverage Ratio to remove Capital Expenditures from the calculation and increased the minimum Interest Coverage Ratio to 3.25 to 1.00, among other changes.</w:t>
      </w: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the Company and certain significant subsidiaries located in the United States, and pledges of stock in certain significant domestic and foreign subsidiaries; and are guaranteed by certain significant subsidiaries.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Credit Facility limits or restricts the Company and its subsidiaries, from, among other things, incurring indebtedness, incurring liens on its respective assets, making investments and acquisitions (assuming the Company’s pro forma net leverage ratio is greater than 2.75 to 1.00), making asset sales, and paying cash dividends and making other restricted payments (assuming the Company's pro forma net leverage ratio is greater than 2.50 to 1.00), and requires the Company to comply with other covenants.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Credit Facility also contains customary events of default, including, but not limited to, failure to pay principal or interest, failure to pay or default under other material debt, material misrepresentation or breach of warranty, violation of certain covenants, a change of control, the commencement of bankruptcy proceedings, the insolvency of the Company or certain of its significant subsidiaries, and the rendering of a judgment in excess of $50,000 against the Company or its subsidiaries. Upon the occurrence of an event of default under the Credit Facility, the Company's obligations under the credit facility may be accelerated and the lending commitments under the credit facility may be terminated.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there was $467,245 accessible under the Credit Facility at the current EBITDA level.  At December 31, 2023, there was $748,578 available under the Credit Facility.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Letters of credit totaling $2,062 and $1,422 were outstanding at December 31, 2024 and 2023, respectively.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Long-Term Debt (continued)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Debt Instruments</w:t>
            </w: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some key facts and terms regarding the outstanding convertible senior notes as of December 31, 2024:</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23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Due 2025</w:t>
            </w:r>
          </w:p>
        </w:tc>
        <w:tc>
          <w:tcPr>
            <w:tcW w:w="22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Due 2030</w:t>
            </w:r>
          </w:p>
        </w:tc>
      </w:tr>
      <w:tr>
        <w:trPr>
          <w:trHeight w:val="160"/>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date</w:t>
            </w: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9"/>
              </w:rPr>
              <w:t>June 12, 2018</w:t>
            </w:r>
          </w:p>
        </w:tc>
        <w:tc>
          <w:tcPr>
            <w:tcW w:w="240" w:type="dxa"/>
            <w:vAlign w:val="bottom"/>
            <w:shd w:val="clear" w:color="auto" w:fill="CCEEFF"/>
          </w:tcPr>
          <w:p>
            <w:pPr>
              <w:spacing w:after="0"/>
              <w:rPr>
                <w:sz w:val="13"/>
                <w:szCs w:val="13"/>
                <w:color w:val="auto"/>
              </w:rPr>
            </w:pPr>
          </w:p>
        </w:tc>
        <w:tc>
          <w:tcPr>
            <w:tcW w:w="1220" w:type="dxa"/>
            <w:vAlign w:val="bottom"/>
            <w:tcBorders>
              <w:top w:val="single" w:sz="8" w:color="auto"/>
            </w:tcBorders>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September 12, 2023</w:t>
            </w:r>
          </w:p>
        </w:tc>
        <w:tc>
          <w:tcPr>
            <w:tcW w:w="120" w:type="dxa"/>
            <w:vAlign w:val="bottom"/>
            <w:shd w:val="clear" w:color="auto" w:fill="CCEEFF"/>
          </w:tcPr>
          <w:p>
            <w:pPr>
              <w:spacing w:after="0"/>
              <w:rPr>
                <w:sz w:val="13"/>
                <w:szCs w:val="13"/>
                <w:color w:val="auto"/>
              </w:rPr>
            </w:pPr>
          </w:p>
        </w:tc>
      </w:tr>
      <w:tr>
        <w:trPr>
          <w:trHeight w:val="162"/>
        </w:trPr>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Maturity date</w:t>
            </w:r>
          </w:p>
        </w:tc>
        <w:tc>
          <w:tcPr>
            <w:tcW w:w="20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June 15, 2025</w:t>
            </w: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September 15, 2030</w:t>
            </w:r>
          </w:p>
        </w:tc>
      </w:tr>
      <w:tr>
        <w:trPr>
          <w:trHeight w:val="162"/>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amount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41,911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w:t>
            </w:r>
          </w:p>
        </w:tc>
      </w:tr>
      <w:tr>
        <w:trPr>
          <w:trHeight w:val="162"/>
        </w:trPr>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coupon rate (per annum)</w:t>
            </w: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w:t>
            </w:r>
          </w:p>
        </w:tc>
        <w:tc>
          <w:tcPr>
            <w:tcW w:w="2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w:t>
            </w:r>
          </w:p>
        </w:tc>
      </w:tr>
      <w:tr>
        <w:trPr>
          <w:trHeight w:val="162"/>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rate effective December 3, 2024 (per $1 principal amount)</w:t>
            </w: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32.2205</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33.1609</w:t>
            </w:r>
          </w:p>
        </w:tc>
      </w:tr>
      <w:tr>
        <w:trPr>
          <w:trHeight w:val="162"/>
        </w:trPr>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conversion price effective December 3, 2024 (per share)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31.04</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30.16</w:t>
            </w:r>
          </w:p>
        </w:tc>
      </w:tr>
      <w:tr>
        <w:trPr>
          <w:trHeight w:val="162"/>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130% of the conversion price (per share)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40.35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39.21</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Senior Notes due 2030</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September 2023, the Company issued $750,000 aggregate principal amount of 2.25% convertible senior notes due 2030 (the “2030 Notes”) to qualified institutional buyers pursuant to an exemption from registration provided by Rule 144A under the Securities Act. The Company used the net proceeds from this offering to repurchase $370,242 principal amount of its outstanding 2.25% convertible senior notes due 2025 (the “2025 Notes”) (as further described below), to reduce the outstanding balance of its Credit Facility, to enter into capped call transactions (as further described below), and for other general corporate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2030 Notes bear interest at a rate of 2.25% per year payable semi-annually in arrears on March 15 and September 15 of each year, beginning March 15, 2024. The 2030 Notes mature on September 15, 2030, unless earlier repurchased or converted.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2030 Notes are convertible into shares of Vishay common stock at an initial conversion rate of 33.1609 shares of common stock per $1 principal amount of the notes, subject to adjustment. This initial conversion price represents a premium of 20% to the closing price of Vishay's common stock on September 7, 2023, which was $25.13 per share. This represents an initial effective conversion price of approximately $30.16 per share. The conversion rate of the 2030 Notes is not adjusted for quarterly cash dividends equal to or less than $0.10 per share of common stock. Pursuant to the indenture governing the 2030 Notes, the Company is required to satisfy its conversion obligations by paying cash equal to the principal amount of notes and settle any additional value in cash and/or shares at its discretion. Vishay must provide additional shares upon conversion if there is a "fundamental change" in the business as defined in the indenture governing the notes.</w:t>
      </w:r>
    </w:p>
    <w:p>
      <w:pPr>
        <w:spacing w:after="0" w:line="2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may not redeem the 2030 Notes prior to September 20, 2027. The Company may redeem for cash all or part of the 2030 Notes, at its option, on or after September 20, 2027, if the sale price of Vishay’s common stock has been at least 130% of the conversion price for a specified period at a redemption price equal to 100% of the principal amount of the notes to be redeemed, plus accrued and unpaid interest. If the Company elects to redeem fewer than all of the outstanding 2030 Notes, at least $100,000 aggregate principal amount of 2030 Notes must be outstanding and not subject to redemption.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Prior to March 15, 2030, the holders of the 2030 Notes may convert their notes only under the following conditions: (1) the sale price of Vishay common stock reaches 130% of the applicable conversion price for a specified period; (2) the trading price of the notes falls below 98% of the product of the last reported sale price of Vishay’s common stock and the conversion rate for a specified period; (3) the Company calls any or all of the 2030 Notes for redemption; or (4) upon the occurrence of specified corporate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Capped Call Transactions</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In September 2023, in connection with the pricing and initial purchasers’ exercise in full of their option to purchase additional 2030 Notes, the Company entered into separate base and additional privately negotiated capped call transactions with an affiliate of an initial purchaser and certain other financial institutions. The capped call will initially cover, subject to customary anti-dilution adjustments, the aggregate number of shares of the Company’s common stock that initially underlie the 2030 Notes. The Company used $94,200 of the net proceeds from the 2030 Notes to pay the cost of the capped call transactions. The cap price of the capped call will initially be $43.98 per share, which represents a premium of approximately 75% over the last reported sale price of the Company’s common stock on September 7, 2023, and is subject to certain adjustments under the terms of the capped call.</w:t>
      </w:r>
    </w:p>
    <w:p>
      <w:pPr>
        <w:spacing w:after="0" w:line="1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capped call transactions are separate transactions entered into by the Company with each of the capped call counterparties, are not part of the terms of the 2030 Notes, and do not affect any holder’s rights under the 2030 Notes. Holders of the 2030 Notes do not have any rights with respect to the capped call. The capped call is classified within stockholders’ equity on the consolidated balance sheet.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6 – Long-Term Debt (continued)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Senior Notes due 2025</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used $386,745 of the net proceeds from the 2023 offering of the 2030 Notes to repurchase $370,242 principal amount of its outstanding 2025 Notes. As a result, the Company recognized a loss on early extinguishment of the 2025 Notes of $18,874, including the write-off of a portion of unamortized debt issuance costs. The Company repurchased $53,191 principal amount of its remaining outstanding 2025 Notes in 2024. The gain on early extinguishment was not material.</w:t>
      </w:r>
    </w:p>
    <w:p>
      <w:pPr>
        <w:spacing w:after="0" w:line="1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Prior to December 15, 2024, the convertible senior notes due 2025 were contingently convertible. The convertible senior notes due 2025 became convertible on December 15, 2024 and will remain convertible until maturity.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Upon maturity or conversion of the convertible senior notes due 2025, Vishay will satisfy its obligations by paying $1 cash per $1 principal amount maturing or converted and settle any additional amounts due in common stock.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quarterly cash dividend program of the Company results in adjustments to the conversion rate and effective conversion price for the convertible senior notes due 2025 effective as of the ex-dividend date of each cash dividend. The conversion rate and effective conversion price for the convertible senior notes due 2025 is adjusted for quarterly cash dividends to the extent such dividends exceed $0.085 per share of common stock.</w:t>
      </w:r>
    </w:p>
    <w:p>
      <w:pPr>
        <w:spacing w:after="0" w:line="12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As the Company has the intent and ability to refinance its convertible senior notes due 2025 upon maturity using its revolving credit facility, the 2025 Notes remain classified as long-term liabilities.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Borrowings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Facility, of which $136,000 was drawn as of December 31, 2024, expires in 2028. The convertible senior notes mature in 2025 and 2030, respectively.</w:t>
      </w:r>
    </w:p>
    <w:p>
      <w:pPr>
        <w:spacing w:after="0" w:line="1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At December 31, 2024 and 2023, the Company had committed and uncommitted credit lines with various foreign banks aggregating approximately $32,000 and $34,000, respectively, with substantially no amounts borrowed.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paid was $21,732, $17,242, and $13,739 for the years ended December 31, 2024, 2023, and 2022, respectively.  Deferred financing costs are recognized as non-cash interest expense.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Non-cash interest expense was $4,957, $3,735, and $3,272 for the years ended December 31, 2024, 2023, and 2022,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18 for further discussion on the fair value of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7 – Stockholders’ Equity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Class B common stock carries 10 votes per share while the common stock carries 1 vote per share. Class B shares are transferable only to certain permitted transferees while the common stock is freely transferable. Class B shares are convertible on a one-for-one basis at any time into shares of common stock. Transfers of Class B shares other than to permitted transferees result in the automatic conversion of the Class B shares into common stock.</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Board of Directors may only declare dividends or other distributions with respect to the common stock or the Class B common stock if it grants such dividends or distributions in the same amount per share with respect to the other class of stock. Stock dividends or distributions on any class of stock are payable only in shares of stock of that class. Shares of either common stock or Class B common stock cannot be split, divided, or combined unless the other is also split, divided, or combined equally. Cash dividends were paid quarterly in 2024 and 2023.</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Credit Facility also allows an unlimited amount of defined "Restricted Payments," which include cash dividends and share repurchases, provided the Company's pro forma net leverage ratio is equal to or less than 2.50 to 1.00. If the Company's pro forma net leverage ratio is greater than 2.50 to 1.00, the Credit Facility allows such payments up to $100,000 per annum (subject to a cap of $300,000 for the term of the facility, with up to $25,000 of any unused amount of the $100,000 per annum base available for use in the next succeeding calendar year).</w:t>
      </w:r>
    </w:p>
    <w:p>
      <w:pPr>
        <w:sectPr>
          <w:pgSz w:w="11900" w:h="16838" w:orient="portrait"/>
          <w:cols w:equalWidth="0" w:num="1">
            <w:col w:w="11300"/>
          </w:cols>
          <w:pgMar w:left="300" w:top="121" w:right="299" w:bottom="1440" w:gutter="0" w:footer="0" w:header="0"/>
        </w:sectPr>
      </w:pP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the Company had reserved shares of common stock for future issuance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stock units outstanding, assuming performance-based awards at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7804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Phantom stock units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 Long-Term Incentive Plan - available to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Convertible senior notes, due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Convertible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Conversion of Class B common stock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1257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1">
                      <a:extLst>
                        <a:ext uri="{28A0092B-C50C-407E-A947-70E740481C1C}"/>
                      </a:extLst>
                    </a:blip>
                    <a:srcRect/>
                    <a:stretch>
                      <a:fillRect/>
                    </a:stretch>
                  </pic:blipFill>
                  <pic:spPr bwMode="auto">
                    <a:xfrm>
                      <a:off x="0" y="0"/>
                      <a:ext cx="7178040" cy="125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color w:val="auto"/>
        </w:rPr>
        <w:t>3,003,000</w:t>
      </w:r>
    </w:p>
    <w:p>
      <w:pPr>
        <w:spacing w:after="0" w:line="1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color w:val="auto"/>
        </w:rPr>
        <w:t>128,000</w:t>
      </w:r>
    </w:p>
    <w:p>
      <w:pPr>
        <w:spacing w:after="0" w:line="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color w:val="auto"/>
        </w:rPr>
        <w:t>3,530,000</w:t>
      </w:r>
    </w:p>
    <w:p>
      <w:pPr>
        <w:spacing w:after="0" w:line="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color w:val="auto"/>
        </w:rPr>
        <w:t>1,350,394</w:t>
      </w:r>
    </w:p>
    <w:p>
      <w:pPr>
        <w:spacing w:after="0" w:line="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color w:val="auto"/>
        </w:rPr>
        <w:t>24,870,675</w:t>
      </w:r>
    </w:p>
    <w:p>
      <w:pPr>
        <w:spacing w:after="0" w:line="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color w:val="auto"/>
        </w:rPr>
        <w:t>12,097,148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1905</wp:posOffset>
            </wp:positionV>
            <wp:extent cx="714375"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2">
                      <a:extLst>
                        <a:ext uri="{28A0092B-C50C-407E-A947-70E740481C1C}"/>
                      </a:extLst>
                    </a:blip>
                    <a:srcRect/>
                    <a:stretch>
                      <a:fillRect/>
                    </a:stretch>
                  </pic:blipFill>
                  <pic:spPr bwMode="auto">
                    <a:xfrm>
                      <a:off x="0" y="0"/>
                      <a:ext cx="714375" cy="11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44,979,217</w:t>
      </w:r>
    </w:p>
    <w:p>
      <w:pPr>
        <w:spacing w:after="0" w:line="191" w:lineRule="exact"/>
        <w:rPr>
          <w:sz w:val="20"/>
          <w:szCs w:val="20"/>
          <w:color w:val="auto"/>
        </w:rPr>
      </w:pPr>
    </w:p>
    <w:p>
      <w:pPr>
        <w:sectPr>
          <w:pgSz w:w="11900" w:h="16838" w:orient="portrait"/>
          <w:cols w:equalWidth="0" w:num="2">
            <w:col w:w="9820" w:space="720"/>
            <w:col w:w="760"/>
          </w:cols>
          <w:pgMar w:left="300" w:top="121" w:right="29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2022, the Company's Board of Directors adopted a Stockholder Return Policy that will remain in effect until such time as the Board votes to amend or rescind the policy. The Stockholder Return Policy calls for the Company to return a prescribed amount of cash flows on an annual basis. The Company intends to return such amounts directly, in the form of dividends, or indirectly, in the form of stock repurchases.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activity pursuant to this policy:</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6"/>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8580" w:type="dxa"/>
            <w:vAlign w:val="bottom"/>
          </w:tcPr>
          <w:p>
            <w:pPr>
              <w:spacing w:after="0"/>
              <w:rPr>
                <w:sz w:val="15"/>
                <w:szCs w:val="15"/>
                <w:color w:val="auto"/>
              </w:rPr>
            </w:pPr>
          </w:p>
        </w:tc>
        <w:tc>
          <w:tcPr>
            <w:tcW w:w="8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8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54,672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55,626</w:t>
            </w:r>
          </w:p>
        </w:tc>
        <w:tc>
          <w:tcPr>
            <w:tcW w:w="120" w:type="dxa"/>
            <w:vAlign w:val="bottom"/>
            <w:shd w:val="clear" w:color="auto" w:fill="CCEEFF"/>
          </w:tcPr>
          <w:p>
            <w:pPr>
              <w:spacing w:after="0"/>
              <w:rPr>
                <w:sz w:val="13"/>
                <w:szCs w:val="13"/>
                <w:color w:val="auto"/>
              </w:rPr>
            </w:pPr>
          </w:p>
        </w:tc>
      </w:tr>
      <w:tr>
        <w:trPr>
          <w:trHeight w:val="16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Stock repurchases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50,406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78,684</w:t>
            </w:r>
          </w:p>
        </w:tc>
      </w:tr>
      <w:tr>
        <w:trPr>
          <w:trHeight w:val="200"/>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105,078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134,310</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repurchased shares are being held as treasury stock. The number of shares of common stock being held as treasury stock was 9,933,595 and 7,535,881 as of December 31, 2024 and 2023, respectively.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8 – Details of Expenses</w:t>
            </w:r>
          </w:p>
        </w:tc>
        <w:tc>
          <w:tcPr>
            <w:tcW w:w="5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caption “Other” on the accompanying consolidated statements of operations consists of the following:</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7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gridSpan w:val="6"/>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7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60"/>
        </w:trPr>
        <w:tc>
          <w:tcPr>
            <w:tcW w:w="17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774</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5,690</w:t>
            </w: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25,479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31,353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7,560</w:t>
            </w: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components of periodic pension expense</w:t>
            </w: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(7,899)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(8,730)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(11,090)</w:t>
            </w: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income (expense)</w:t>
            </w: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(519)</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1,347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(6,812)</w:t>
            </w: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(200)</w:t>
            </w:r>
          </w:p>
        </w:tc>
      </w:tr>
      <w:tr>
        <w:trPr>
          <w:trHeight w:val="20"/>
        </w:trPr>
        <w:tc>
          <w:tcPr>
            <w:tcW w:w="1720" w:type="dxa"/>
            <w:vAlign w:val="bottom"/>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17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19,464</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25,263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(4,852)</w:t>
            </w:r>
          </w:p>
        </w:tc>
      </w:tr>
      <w:tr>
        <w:trPr>
          <w:trHeight w:val="20"/>
        </w:trPr>
        <w:tc>
          <w:tcPr>
            <w:tcW w:w="17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Impact of the COVID-19 Pandemic</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operations were impacted by the "COVID-19" pandemic, particularly in 2020 and again in 2022 when operations in the People's Republic of China were impacted by government-mandated shut-downs. The Company incurred incremental costs separable from normal operations that are directly related to the pandemic containment efforts, primarily wages paid to manufacturing employees during government-mandated shut-downs, additional wages and hardship allowances for working during lockdown periods, additional costs of cleaning and disinfecting facilities, costs of additional safety equipment for employees, and temporary housing for employees due to travel restrictions, which were partially offset by government subsidies. Since 2021, certain costs directly attributable to the pandemic, such as additional costs of cleaning and disinfecting facilities and costs of additional safety equipment for employees, are no longer incremental and are considered normal operating costs. The net impact of the costs and subsidies are reported as "Cost of products sold" of $6,661 and "Selling, general, and administrative expenses" of $546 based on employee function on the consolidated statement of operations for the year ended December 31, 2022.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9 – Other Accrued Expenses</w:t>
            </w:r>
          </w:p>
        </w:tc>
        <w:tc>
          <w:tcPr>
            <w:tcW w:w="2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accrued expenses consist of the following:</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60"/>
        </w:trPr>
        <w:tc>
          <w:tcPr>
            <w:tcW w:w="20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r>
      <w:tr>
        <w:trPr>
          <w:trHeight w:val="16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returns and allowances</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43,445</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47,760</w:t>
            </w: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Goods received, not yet invoiced</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40,577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44,657</w:t>
            </w:r>
          </w:p>
        </w:tc>
      </w:tr>
      <w:tr>
        <w:trPr>
          <w:trHeight w:val="16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VAT taxes payable</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43,861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56,218</w:t>
            </w: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136,588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90,715</w:t>
            </w:r>
          </w:p>
        </w:tc>
      </w:tr>
      <w:tr>
        <w:trPr>
          <w:trHeight w:val="200"/>
        </w:trPr>
        <w:tc>
          <w:tcPr>
            <w:tcW w:w="206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264,471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239,350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308"/>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returns and allowances accrual activity is shown below:</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9"/>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20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06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940" w:type="dxa"/>
            <w:vAlign w:val="bottom"/>
            <w:gridSpan w:val="2"/>
          </w:tcPr>
          <w:p>
            <w:pPr>
              <w:spacing w:after="0"/>
              <w:rPr>
                <w:sz w:val="12"/>
                <w:szCs w:val="12"/>
                <w:color w:val="auto"/>
              </w:rPr>
            </w:pPr>
          </w:p>
        </w:tc>
      </w:tr>
      <w:tr>
        <w:trPr>
          <w:trHeight w:val="16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30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47,760</w:t>
            </w:r>
          </w:p>
        </w:tc>
        <w:tc>
          <w:tcPr>
            <w:tcW w:w="10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46,979</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39,759</w:t>
            </w: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returns and allowances</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88,775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102,640</w:t>
            </w:r>
          </w:p>
        </w:tc>
      </w:tr>
      <w:tr>
        <w:trPr>
          <w:trHeight w:val="16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Credits issued</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(92,438)</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(101,324)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(94,682)</w:t>
            </w: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(652)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(738)</w:t>
            </w:r>
          </w:p>
        </w:tc>
      </w:tr>
      <w:tr>
        <w:trPr>
          <w:trHeight w:val="200"/>
        </w:trPr>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28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47,760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46,979</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46"/>
        </w:trPr>
        <w:tc>
          <w:tcPr>
            <w:tcW w:w="20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060" w:type="dxa"/>
            <w:vAlign w:val="bottom"/>
            <w:gridSpan w:val="2"/>
          </w:tcPr>
          <w:p>
            <w:pPr>
              <w:jc w:val="right"/>
              <w:ind w:right="1768"/>
              <w:spacing w:after="0"/>
              <w:rPr>
                <w:sz w:val="20"/>
                <w:szCs w:val="20"/>
                <w:color w:val="auto"/>
              </w:rPr>
            </w:pPr>
            <w:r>
              <w:rPr>
                <w:rFonts w:ascii="Times New Roman" w:cs="Times New Roman" w:eastAsia="Times New Roman" w:hAnsi="Times New Roman"/>
                <w:sz w:val="12"/>
                <w:szCs w:val="12"/>
                <w:color w:val="auto"/>
              </w:rPr>
              <w:t>F-31</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
        </w:trPr>
        <w:tc>
          <w:tcPr>
            <w:tcW w:w="20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10 – Accumulated Other Comprehensive Income (Loss)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cumulative balance of each component of other comprehensive income (loss) and the income tax effects allocated to each component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 post-</w:t>
            </w: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actuarial items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(58,908)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38,656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(20,252)</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60,949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(41,885)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19,064</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(15,783)</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(15,783)</w:t>
            </w:r>
          </w:p>
        </w:tc>
      </w:tr>
      <w:tr>
        <w:trPr>
          <w:trHeight w:val="20"/>
        </w:trPr>
        <w:tc>
          <w:tcPr>
            <w:tcW w:w="7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(41,885)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3,281</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w:t>
            </w: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8,260</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(2,116)</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(2,116)</w:t>
            </w:r>
          </w:p>
        </w:tc>
      </w:tr>
      <w:tr>
        <w:trPr>
          <w:trHeight w:val="160"/>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 net of tax</w:t>
            </w: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120" w:type="dxa"/>
            <w:vAlign w:val="bottom"/>
            <w:shd w:val="clear" w:color="auto" w:fill="CCEEFF"/>
          </w:tcPr>
          <w:p>
            <w:pPr>
              <w:spacing w:after="0"/>
              <w:rPr>
                <w:sz w:val="13"/>
                <w:szCs w:val="13"/>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(41,885)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9,425</w:t>
            </w:r>
          </w:p>
        </w:tc>
      </w:tr>
      <w:tr>
        <w:trPr>
          <w:trHeight w:val="16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(7,598)</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(10,338)</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28,165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17,827</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2,462</w:t>
            </w:r>
          </w:p>
        </w:tc>
      </w:tr>
      <w:tr>
        <w:trPr>
          <w:trHeight w:val="20"/>
        </w:trPr>
        <w:tc>
          <w:tcPr>
            <w:tcW w:w="7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1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(7,876)</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28,165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20,289</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w:t>
            </w: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1,181</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(306)</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(306)</w:t>
            </w:r>
          </w:p>
        </w:tc>
      </w:tr>
      <w:tr>
        <w:trPr>
          <w:trHeight w:val="160"/>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 net of tax</w:t>
            </w: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20" w:type="dxa"/>
            <w:vAlign w:val="bottom"/>
            <w:shd w:val="clear" w:color="auto" w:fill="CCEEFF"/>
          </w:tcPr>
          <w:p>
            <w:pPr>
              <w:spacing w:after="0"/>
              <w:rPr>
                <w:sz w:val="13"/>
                <w:szCs w:val="13"/>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(7,001)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28,165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21,164</w:t>
            </w:r>
          </w:p>
        </w:tc>
      </w:tr>
      <w:tr>
        <w:trPr>
          <w:trHeight w:val="16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(14,599)</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24,936</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10,337</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4,062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(49,272)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(45,210)</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(1,794)</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(1,794)</w:t>
            </w:r>
          </w:p>
        </w:tc>
      </w:tr>
      <w:tr>
        <w:trPr>
          <w:trHeight w:val="20"/>
        </w:trPr>
        <w:tc>
          <w:tcPr>
            <w:tcW w:w="7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2,268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(49,272)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(47,004)</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w:t>
            </w: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1,568</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(193)</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(193)</w:t>
            </w:r>
          </w:p>
        </w:tc>
      </w:tr>
      <w:tr>
        <w:trPr>
          <w:trHeight w:val="160"/>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 net of tax</w:t>
            </w: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1,375</w:t>
            </w: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1,375</w:t>
            </w:r>
          </w:p>
        </w:tc>
        <w:tc>
          <w:tcPr>
            <w:tcW w:w="120" w:type="dxa"/>
            <w:vAlign w:val="bottom"/>
            <w:shd w:val="clear" w:color="auto" w:fill="CCEEFF"/>
          </w:tcPr>
          <w:p>
            <w:pPr>
              <w:spacing w:after="0"/>
              <w:rPr>
                <w:sz w:val="13"/>
                <w:szCs w:val="13"/>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3,643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(49,272)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(45,629)</w:t>
            </w:r>
          </w:p>
        </w:tc>
      </w:tr>
      <w:tr>
        <w:trPr>
          <w:trHeight w:val="20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(10,956)</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(24,336)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(35,292)</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 (loss) includes Vishay's proportionate share of other comprehensive income (loss) of nonconsolidated subsidiaries accounted for under the equity method.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maintains various retirement benefit plans. GAAP requires employers to recognize the funded status of a benefit plan, measured as the difference between plan assets at fair value and the benefit obligation, in its balance sheet. The recognition of the funded status on the balance sheet requires employers to recognize actuarial items (such as actuarial gains and losses, prior service costs, and transition obligations) as a component of other comprehensive income, net of tax.</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amounts recorded on the accompanying consolidated balance sheets associated with these various retirement benefit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8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322"/>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Included in "Other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3,929</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included in other assets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Pr>
          <w:p>
            <w:pPr>
              <w:spacing w:after="0"/>
              <w:rPr>
                <w:sz w:val="13"/>
                <w:szCs w:val="13"/>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3,929</w:t>
            </w: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8"/>
        </w:trPr>
        <w:tc>
          <w:tcPr>
            <w:tcW w:w="8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Included in "Payroll and related expenses":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pension plans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(880)</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(1,474)</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(6,720)</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(7,149)</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other postretirement plans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(520)</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(510)</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other postretirement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(799)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(390)</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included in payroll and related expenses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(8,919)</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(9,523)</w:t>
            </w: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8"/>
        </w:trPr>
        <w:tc>
          <w:tcPr>
            <w:tcW w:w="8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Accrued pension and other postretirement costs: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pension plans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(27,758)</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(29,217)</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(125,719)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(144,276)</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other postretirement plans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(3,418)</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(3,750)</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other postretirement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(6,287)</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(7,173)</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retirement obligations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(10,518)</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(11,087)</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accrued pension and other postretirement costs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(173,700)</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(195,503)</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8"/>
        </w:trPr>
        <w:tc>
          <w:tcPr>
            <w:tcW w:w="8700" w:type="dxa"/>
            <w:vAlign w:val="bottom"/>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Accumulated other comprehensive loss: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pension plans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(522)</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18,861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24,891</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other postretirement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(1,329)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(1,527)</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Non-U.S. other postretirement plans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1,158</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1,488</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accumulated other comprehensive loss*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18,701</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24,330</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rPr>
          <w:sz w:val="20"/>
          <w:szCs w:val="20"/>
          <w:color w:val="auto"/>
        </w:rPr>
      </w:pPr>
      <w:r>
        <w:rPr>
          <w:rFonts w:ascii="Times New Roman" w:cs="Times New Roman" w:eastAsia="Times New Roman" w:hAnsi="Times New Roman"/>
          <w:sz w:val="12"/>
          <w:szCs w:val="12"/>
          <w:color w:val="auto"/>
        </w:rPr>
        <w:t>* - Amounts included in accumulated other comprehensive loss are presented in this table pre-tax</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Benefit Pension Plans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U.S. Pension Plans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maintained several defined benefit pension plans which covered most full-time U.S. employees. These included pension plans which are “qualified” under the Employee Retirement Income Security Act of 1974 (“ERISA”) and the Internal Revenue Code, and “non-qualified” pension plans which provide defined benefits primarily to U.S. employees whose benefits under the qualified pension plan would be limited by ERISA and the Internal Revenue Code. The Company’s principal qualified U.S. pension plan (the Vishay Retirement Plan) was frozen effective January 1, 2009 and terminated in 2016.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principal non-qualified U.S. pension plan (the Vishay Non-qualified Retirement Plan) was a contributory pension plan designed to provide similar defined benefits to covered U.S. employees whose benefits under the Vishay Retirement Plan were limited by the Internal Revenue Code. The Vishay Non-qualified Retirement Plan was similar in construction to the Vishay Retirement Plan, except that the plan is not qualified under the Internal Revenue Code.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Vishay Non-qualified Retirement Plan, like all non-qualified plans, is considered to be unfunded. The Company maintains a non-qualified trust, referred to as a “rabbi” trust, to fund benefit payments under this plan. Rabbi trust assets are subject to creditor claims under certain conditions and are not the property of employees. Therefore, they are accounted for as other noncurrent assets. Assets held in trust related to the non-qualified pension plan were $19,842 and $21,095 at December 31, 2024 and 2023,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2008, the Company adopted amendments to the Vishay Non-Qualified Retirement Plan such that effective January 1, 2009, the plan was frozen. Pursuant to these amendments, no new employees may participate in the plans, no further participant contributions were required or permitted, and no further benefits shall accrue after December 31, 2008. Benefits accumulated as of December 31, 2008 will be paid to employees upon or following retirement, and the Company will likely need to make additional cash contributions to the rabbi trust to fund this accumulated benefit obligation.</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also maintains other pension plans which provide supplemental defined benefits primarily to former U.S. employees whose benefits under qualified pension plans were limited by the Internal Revenue Code. These non-qualified plans are all non-contributory plans, and are considered to be unfunded.</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2004, the Company entered into an employment agreement with Dr. Felix Zandman, its former Executive Chairman and then-Chief Executive Officer. Pursuant to this agreement, the Company is providing an annual retirement benefit of approximately $614 to his surviving spouse. The Company maintains a non-qualified trust, referred to as a “rabbi” trust, to fund benefit payments under this plan. Rabbi trust assets are subject to creditor claims under certain conditions and are not the property of employees. Therefore, they are accounted for as other noncurrent assets. Assets held in trust related to this non-qualified pension plan were $1,065 and $445 at December 31, 2024 and 2023,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Non-U.S. Pension Plans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provides pension and similar benefits to employees of certain non-U.S. subsidiaries consistent with local practices. Pension benefits earned are generally based on years of service and compensation during active employment.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 reconciliation of the benefit obligation, plan assets, and funded status related to U.S. and non-U.S. pension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23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0"/>
        </w:trPr>
        <w:tc>
          <w:tcPr>
            <w:tcW w:w="4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6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4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304"/>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19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2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30,691</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210,783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37,221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203,541</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3,121</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3,063</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1,525</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6,698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1,997</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7,346</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Plan amendments</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44</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Actuarial (gains) losses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(425)</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1,719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(272)</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8,835</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(3,153)</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(14,508)</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(8,255)</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(17,160)</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Curtailments and settlements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(12,068)</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5,200</w:t>
            </w:r>
          </w:p>
        </w:tc>
      </w:tr>
      <w:tr>
        <w:trPr>
          <w:trHeight w:val="200"/>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end of year</w:t>
            </w:r>
          </w:p>
        </w:tc>
        <w:tc>
          <w:tcPr>
            <w:tcW w:w="1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28,638</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195,691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30,691</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210,783</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40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21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63,287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65,620</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5,504</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1,976</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Company contributions</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13,311</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8,255</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12,161</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(3,153)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(14,509)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(8,255)</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(17,160)</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(3,125)</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690</w:t>
            </w:r>
          </w:p>
        </w:tc>
      </w:tr>
      <w:tr>
        <w:trPr>
          <w:trHeight w:val="200"/>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64,468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63,287</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4060" w:type="dxa"/>
            <w:vAlign w:val="bottom"/>
          </w:tcPr>
          <w:p>
            <w:pPr>
              <w:spacing w:after="0"/>
              <w:rPr>
                <w:sz w:val="10"/>
                <w:szCs w:val="10"/>
                <w:color w:val="auto"/>
              </w:rPr>
            </w:pPr>
          </w:p>
        </w:tc>
        <w:tc>
          <w:tcPr>
            <w:tcW w:w="2180" w:type="dxa"/>
            <w:vAlign w:val="bottom"/>
            <w:gridSpan w:val="2"/>
          </w:tcPr>
          <w:p>
            <w:pPr>
              <w:spacing w:after="0"/>
              <w:rPr>
                <w:sz w:val="10"/>
                <w:szCs w:val="10"/>
                <w:color w:val="auto"/>
              </w:rPr>
            </w:pPr>
          </w:p>
        </w:tc>
        <w:tc>
          <w:tcPr>
            <w:tcW w:w="11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r>
      <w:tr>
        <w:trPr>
          <w:trHeight w:val="20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Funded status at end of year</w:t>
            </w:r>
          </w:p>
        </w:tc>
        <w:tc>
          <w:tcPr>
            <w:tcW w:w="2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(28,638)</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(131,223)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(30,691)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(147,496)</w:t>
            </w:r>
          </w:p>
        </w:tc>
      </w:tr>
      <w:tr>
        <w:trPr>
          <w:trHeight w:val="246"/>
        </w:trPr>
        <w:tc>
          <w:tcPr>
            <w:tcW w:w="4060" w:type="dxa"/>
            <w:vAlign w:val="bottom"/>
            <w:tcBorders>
              <w:top w:val="single" w:sz="8" w:color="CCEEFF"/>
            </w:tcBorders>
          </w:tcPr>
          <w:p>
            <w:pPr>
              <w:spacing w:after="0"/>
              <w:rPr>
                <w:sz w:val="21"/>
                <w:szCs w:val="21"/>
                <w:color w:val="auto"/>
              </w:rPr>
            </w:pPr>
          </w:p>
        </w:tc>
        <w:tc>
          <w:tcPr>
            <w:tcW w:w="1940" w:type="dxa"/>
            <w:vAlign w:val="bottom"/>
            <w:tcBorders>
              <w:top w:val="single" w:sz="8" w:color="CCEEFF"/>
            </w:tcBorders>
          </w:tcPr>
          <w:p>
            <w:pPr>
              <w:ind w:left="1480"/>
              <w:spacing w:after="0"/>
              <w:rPr>
                <w:sz w:val="20"/>
                <w:szCs w:val="20"/>
                <w:color w:val="auto"/>
              </w:rPr>
            </w:pPr>
            <w:r>
              <w:rPr>
                <w:rFonts w:ascii="Times New Roman" w:cs="Times New Roman" w:eastAsia="Times New Roman" w:hAnsi="Times New Roman"/>
                <w:sz w:val="12"/>
                <w:szCs w:val="12"/>
                <w:color w:val="auto"/>
              </w:rPr>
              <w:t>F-34</w:t>
            </w: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36"/>
        </w:trPr>
        <w:tc>
          <w:tcPr>
            <w:tcW w:w="40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plan assets are stated at fair value. See Note 18 for further discussion of the valuation of the plan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Amounts recognized in the accompanying consolidated balance sheets consist of the following:</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8"/>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0"/>
        </w:trPr>
        <w:tc>
          <w:tcPr>
            <w:tcW w:w="5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left="272"/>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1,216</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3,929</w:t>
            </w:r>
          </w:p>
        </w:tc>
      </w:tr>
      <w:tr>
        <w:trPr>
          <w:trHeight w:val="16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Accrued benefit liability - current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(6,720)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(7,149)</w:t>
            </w:r>
          </w:p>
        </w:tc>
      </w:tr>
      <w:tr>
        <w:trPr>
          <w:trHeight w:val="16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benefit liability - non-current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(27,758)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(125,719)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(29,217)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(144,276)</w:t>
            </w:r>
          </w:p>
        </w:tc>
      </w:tr>
      <w:tr>
        <w:trPr>
          <w:trHeight w:val="16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18,861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24,891</w:t>
            </w:r>
          </w:p>
        </w:tc>
      </w:tr>
      <w:tr>
        <w:trPr>
          <w:trHeight w:val="200"/>
        </w:trPr>
        <w:tc>
          <w:tcPr>
            <w:tcW w:w="5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(28,627)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(112,362)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(122,605)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30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Actuarial items consist of the following:</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0"/>
        </w:trPr>
        <w:tc>
          <w:tcPr>
            <w:tcW w:w="5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left="272"/>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1100" w:type="dxa"/>
            <w:vAlign w:val="bottom"/>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104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Unrecognized net actuarial (gain) loss</w:t>
            </w:r>
          </w:p>
        </w:tc>
        <w:tc>
          <w:tcPr>
            <w:tcW w:w="80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18,161</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(588)</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24,094</w:t>
            </w:r>
          </w:p>
        </w:tc>
      </w:tr>
      <w:tr>
        <w:trPr>
          <w:trHeight w:val="16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Unamortized prior service cost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797</w:t>
            </w:r>
          </w:p>
        </w:tc>
      </w:tr>
      <w:tr>
        <w:trPr>
          <w:trHeight w:val="200"/>
        </w:trPr>
        <w:tc>
          <w:tcPr>
            <w:tcW w:w="5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18,861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24,891</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additional information regarding the projected and accumulated benefit obligations: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gridSpan w:val="9"/>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benefit obligation, all plans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28,638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180,542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30,691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194,361</w:t>
            </w:r>
          </w:p>
        </w:tc>
      </w:tr>
      <w:tr>
        <w:trPr>
          <w:trHeight w:val="144"/>
        </w:trPr>
        <w:tc>
          <w:tcPr>
            <w:tcW w:w="3280" w:type="dxa"/>
            <w:vAlign w:val="bottom"/>
            <w:gridSpan w:val="2"/>
          </w:tcPr>
          <w:p>
            <w:pPr>
              <w:spacing w:after="0"/>
              <w:rPr>
                <w:sz w:val="12"/>
                <w:szCs w:val="12"/>
                <w:color w:val="auto"/>
              </w:rPr>
            </w:pPr>
          </w:p>
        </w:tc>
        <w:tc>
          <w:tcPr>
            <w:tcW w:w="1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6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Plans for which the accumulated benefit obligation exceeds plan assets: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28,638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129,686</w:t>
            </w:r>
          </w:p>
        </w:tc>
        <w:tc>
          <w:tcPr>
            <w:tcW w:w="1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30,691</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146,898</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28,638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128,182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30,691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144,213</w:t>
            </w:r>
          </w:p>
        </w:tc>
      </w:tr>
      <w:tr>
        <w:trPr>
          <w:trHeight w:val="19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3,032</w:t>
            </w:r>
          </w:p>
        </w:tc>
      </w:tr>
      <w:tr>
        <w:trPr>
          <w:trHeight w:val="304"/>
        </w:trPr>
        <w:tc>
          <w:tcPr>
            <w:tcW w:w="46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 sets forth the components of net periodic pension cost: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right"/>
              <w:ind w:right="7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000" w:type="dxa"/>
            <w:vAlign w:val="bottom"/>
          </w:tcPr>
          <w:p>
            <w:pPr>
              <w:jc w:val="right"/>
              <w:ind w:right="289"/>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1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960" w:type="dxa"/>
            <w:vAlign w:val="bottom"/>
          </w:tcPr>
          <w:p>
            <w:pPr>
              <w:jc w:val="right"/>
              <w:ind w:right="24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3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3,121</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4,199</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6,698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7,346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3,200</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(2,347)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(1,725)</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actuarial (gains) losses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1,799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4,760</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597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216</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Curtailment and settlement losses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290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1,190</w:t>
            </w:r>
          </w:p>
        </w:tc>
      </w:tr>
      <w:tr>
        <w:trPr>
          <w:trHeight w:val="20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pension cost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10,158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40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ind w:left="740"/>
              <w:spacing w:after="0"/>
              <w:rPr>
                <w:sz w:val="20"/>
                <w:szCs w:val="20"/>
                <w:color w:val="auto"/>
              </w:rPr>
            </w:pPr>
            <w:r>
              <w:rPr>
                <w:rFonts w:ascii="Times New Roman" w:cs="Times New Roman" w:eastAsia="Times New Roman" w:hAnsi="Times New Roman"/>
                <w:sz w:val="12"/>
                <w:szCs w:val="12"/>
                <w:color w:val="auto"/>
              </w:rPr>
              <w:t>F-35</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3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See Note 10 for the pretax, tax effect and after tax amounts included in other comprehensive income during the years ended December 31, 2024, 2023, and 2022. The estimated actuarial items for the defined benefit pensions plans that will be amortized from accumulated other comprehensive loss into net periodic pension cost during 2025 are not 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benefit obligations at December 31 of the respective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6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5.50%</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3.43%</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3.37%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8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the net periodic pension costs: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8"/>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6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5.25%</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3.36%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3.41%</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r>
    </w:tbl>
    <w:p>
      <w:pPr>
        <w:spacing w:after="0" w:line="14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plans’ expected return on assets is based on management’s expectations of long-term average rates of return to be achieved by the underlying investment portfolios. In establishing this assumption, management considers historical and expected returns for the asset classes in which the plans are invested, advice from pension consultants and investment advisors, and current economic and capital market conditions.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investment mix between equity securities and fixed income securities is based upon achieving a desired return, balancing higher return, more volatile equity securities, and lower return, less volatile fixed income securities and is adjusted for the expected duration of the obligation and the funded status of the plan. Investment allocations are made across a range of securities, maturities and credit quality. The Company’s non-U.S. defined benefit plan investments are based on local laws and customs. Most plans invest in cash and local government fixed income securities, although plans in certain countries have investments in equity securities. The plans do not invest in securities of Vishay or its subsidiaries. Negative investment returns could ultimately affect the funded status of the plans, requiring additional cash contributions. See Note 18 for further information on the fair value of the plan assets by asset category.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Estimated future benefit payments are as follows:</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8700" w:type="dxa"/>
            <w:vAlign w:val="bottom"/>
          </w:tcPr>
          <w:p>
            <w:pPr>
              <w:spacing w:after="0"/>
              <w:rPr>
                <w:sz w:val="24"/>
                <w:szCs w:val="24"/>
                <w:color w:val="auto"/>
              </w:rPr>
            </w:pPr>
          </w:p>
        </w:tc>
        <w:tc>
          <w:tcPr>
            <w:tcW w:w="7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182"/>
        </w:trPr>
        <w:tc>
          <w:tcPr>
            <w:tcW w:w="8700" w:type="dxa"/>
            <w:vAlign w:val="bottom"/>
          </w:tcPr>
          <w:p>
            <w:pPr>
              <w:spacing w:after="0"/>
              <w:rPr>
                <w:sz w:val="15"/>
                <w:szCs w:val="15"/>
                <w:color w:val="auto"/>
              </w:rPr>
            </w:pPr>
          </w:p>
        </w:tc>
        <w:tc>
          <w:tcPr>
            <w:tcW w:w="7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8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7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3,377</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15,486</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1,985</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16,191</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1,973</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13,770</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8,343</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14,012</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3,099</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14,799</w:t>
            </w:r>
          </w:p>
        </w:tc>
      </w:tr>
      <w:tr>
        <w:trPr>
          <w:trHeight w:val="188"/>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2030-2035</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8,990</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68,871</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anticipated 2025 contributions for defined benefit pension plans will approximate the expected benefit payments disclosed above.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Postretirement Benefits</w:t>
      </w:r>
    </w:p>
    <w:p>
      <w:pPr>
        <w:spacing w:after="0" w:line="1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In the U.S., the Company maintains unfunded non-pension postretirement plans, including medical benefits for certain executives and their surviving spouses, which are funded as costs are incurred. The Company also maintains two unfunded non-pension postretirement plans at two European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 reconciliation of the benefit obligation, plan assets, and accrued benefit cost related to U.S. and non-U.S. non-pension defined benefit postretirement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0"/>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0" w:type="dxa"/>
            <w:vAlign w:val="bottom"/>
          </w:tcPr>
          <w:p>
            <w:pPr>
              <w:spacing w:after="0"/>
              <w:rPr>
                <w:sz w:val="15"/>
                <w:szCs w:val="15"/>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304"/>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7,563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6,715</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221</w:t>
            </w: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251</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Actuarial (gains) losses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801</w:t>
            </w: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(681)</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256</w:t>
            </w:r>
          </w:p>
        </w:tc>
      </w:tr>
      <w:tr>
        <w:trPr>
          <w:trHeight w:val="20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end of year</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7,086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plan assets at end of year</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55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20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Funded status at end of year</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(3,938)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(7,086)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(7,563)</w:t>
            </w:r>
          </w:p>
        </w:tc>
      </w:tr>
      <w:tr>
        <w:trPr>
          <w:trHeight w:val="308"/>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Amounts recognized in the accompanying consolidated balance sheets consist of the following:</w:t>
            </w:r>
          </w:p>
        </w:tc>
        <w:tc>
          <w:tcPr>
            <w:tcW w:w="3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98"/>
        </w:trPr>
        <w:tc>
          <w:tcPr>
            <w:tcW w:w="5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0"/>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4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1240" w:type="dxa"/>
            <w:vAlign w:val="bottom"/>
            <w:gridSpan w:val="3"/>
          </w:tcPr>
          <w:p>
            <w:pPr>
              <w:spacing w:after="0"/>
              <w:rPr>
                <w:sz w:val="12"/>
                <w:szCs w:val="12"/>
                <w:color w:val="auto"/>
              </w:rPr>
            </w:pPr>
          </w:p>
        </w:tc>
        <w:tc>
          <w:tcPr>
            <w:tcW w:w="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benefit liability - current</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(390)</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Accrued benefit liability - non-current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(3,418)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(6,287)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(7,173)</w:t>
            </w: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(1,329)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1,488</w:t>
            </w:r>
          </w:p>
        </w:tc>
      </w:tr>
      <w:tr>
        <w:trPr>
          <w:trHeight w:val="20"/>
        </w:trPr>
        <w:tc>
          <w:tcPr>
            <w:tcW w:w="5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5520" w:type="dxa"/>
            <w:vAlign w:val="bottom"/>
          </w:tcPr>
          <w:p>
            <w:pPr>
              <w:spacing w:after="0"/>
              <w:rPr>
                <w:sz w:val="13"/>
                <w:szCs w:val="13"/>
                <w:color w:val="auto"/>
              </w:rPr>
            </w:pPr>
          </w:p>
        </w:tc>
        <w:tc>
          <w:tcPr>
            <w:tcW w:w="12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(5,267)</w:t>
            </w:r>
          </w:p>
        </w:tc>
        <w:tc>
          <w:tcPr>
            <w:tcW w:w="12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(5,928)</w:t>
            </w:r>
          </w:p>
        </w:tc>
        <w:tc>
          <w:tcPr>
            <w:tcW w:w="100" w:type="dxa"/>
            <w:vAlign w:val="bottom"/>
          </w:tcPr>
          <w:p>
            <w:pPr>
              <w:spacing w:after="0"/>
              <w:rPr>
                <w:sz w:val="13"/>
                <w:szCs w:val="13"/>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(5,787)</w:t>
            </w:r>
          </w:p>
        </w:tc>
        <w:tc>
          <w:tcPr>
            <w:tcW w:w="100" w:type="dxa"/>
            <w:vAlign w:val="bottom"/>
          </w:tcPr>
          <w:p>
            <w:pPr>
              <w:spacing w:after="0"/>
              <w:rPr>
                <w:sz w:val="13"/>
                <w:szCs w:val="1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(6,075)</w:t>
            </w:r>
          </w:p>
        </w:tc>
      </w:tr>
      <w:tr>
        <w:trPr>
          <w:trHeight w:val="20"/>
        </w:trPr>
        <w:tc>
          <w:tcPr>
            <w:tcW w:w="5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0"/>
        </w:trPr>
        <w:tc>
          <w:tcPr>
            <w:tcW w:w="5520" w:type="dxa"/>
            <w:vAlign w:val="bottom"/>
          </w:tcPr>
          <w:p>
            <w:pPr>
              <w:spacing w:after="0"/>
              <w:rPr>
                <w:sz w:val="24"/>
                <w:szCs w:val="24"/>
                <w:color w:val="auto"/>
              </w:rPr>
            </w:pPr>
          </w:p>
        </w:tc>
        <w:tc>
          <w:tcPr>
            <w:tcW w:w="1240" w:type="dxa"/>
            <w:vAlign w:val="bottom"/>
            <w:gridSpan w:val="3"/>
          </w:tcPr>
          <w:p>
            <w:pPr>
              <w:jc w:val="right"/>
              <w:ind w:right="930"/>
              <w:spacing w:after="0"/>
              <w:rPr>
                <w:sz w:val="20"/>
                <w:szCs w:val="20"/>
                <w:color w:val="auto"/>
              </w:rPr>
            </w:pPr>
            <w:r>
              <w:rPr>
                <w:rFonts w:ascii="Times New Roman" w:cs="Times New Roman" w:eastAsia="Times New Roman" w:hAnsi="Times New Roman"/>
                <w:sz w:val="12"/>
                <w:szCs w:val="12"/>
                <w:color w:val="auto"/>
                <w:w w:val="96"/>
              </w:rPr>
              <w:t>F-37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5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 11 – Pensions and Other Postretirement Benefits (continued)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Actuarial items consist of the following:</w:t>
            </w: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3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left="12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ind w:right="5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Unrecognized net actuarial loss (gain)</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(1,329)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5"/>
              </w:rPr>
              <w:t>1,158</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(1,329)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5"/>
              </w:rPr>
              <w:t>1,158</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3"/>
                <w:szCs w:val="1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20"/>
        </w:trPr>
        <w:tc>
          <w:tcPr>
            <w:tcW w:w="46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The following table sets forth the components of net periodic benefit cost:</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66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133"/>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left="12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right="5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960" w:type="dxa"/>
            <w:vAlign w:val="bottom"/>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860" w:type="dxa"/>
            <w:vAlign w:val="bottom"/>
            <w:gridSpan w:val="2"/>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241</w:t>
            </w:r>
          </w:p>
        </w:tc>
        <w:tc>
          <w:tcPr>
            <w:tcW w:w="8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actuarial (gains) losses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82</w:t>
            </w:r>
          </w:p>
        </w:tc>
        <w:tc>
          <w:tcPr>
            <w:tcW w:w="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Curtailment and settlement losses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benefit cost (benefit)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568</w:t>
            </w:r>
          </w:p>
        </w:tc>
        <w:tc>
          <w:tcPr>
            <w:tcW w:w="80" w:type="dxa"/>
            <w:vAlign w:val="bottom"/>
            <w:shd w:val="clear" w:color="auto" w:fill="CCEEFF"/>
          </w:tcPr>
          <w:p>
            <w:pPr>
              <w:spacing w:after="0"/>
              <w:rPr>
                <w:sz w:val="15"/>
                <w:szCs w:val="15"/>
                <w:color w:val="auto"/>
              </w:rPr>
            </w:pPr>
          </w:p>
        </w:tc>
        <w:tc>
          <w:tcPr>
            <w:tcW w:w="160" w:type="dxa"/>
            <w:vAlign w:val="bottom"/>
            <w:tcBorders>
              <w:right w:val="single" w:sz="8" w:color="CCEEFF"/>
            </w:tcBorders>
            <w:gridSpan w:val="2"/>
            <w:shd w:val="clear" w:color="auto" w:fill="CCEEFF"/>
          </w:tcPr>
          <w:p>
            <w:pPr>
              <w:spacing w:after="0"/>
              <w:rPr>
                <w:sz w:val="15"/>
                <w:szCs w:val="15"/>
                <w:color w:val="auto"/>
              </w:rPr>
            </w:pPr>
          </w:p>
        </w:tc>
        <w:tc>
          <w:tcPr>
            <w:tcW w:w="7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estimated actuarial items for the other postretirement benefit plans that will be amortized from accumulated other comprehensive loss into net periodic benefit cost during 2025 are not 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benefit obligations at December 31 of the respective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5.50%</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3.25%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3.50%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8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the net periodic benefit costs: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8"/>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5.25%</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3.40%</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4.00%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4.19%</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impact of a one-percentage-point change in assumed health care cost trend rates on the net periodic benefit cost and postretirement benefit obligation is not material.</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11 – Pensions and Other Postretirement Benefits (continued)</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Estimated future benefit payments are as follows:</w:t>
            </w:r>
          </w:p>
        </w:tc>
        <w:tc>
          <w:tcPr>
            <w:tcW w:w="4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4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182"/>
        </w:trPr>
        <w:tc>
          <w:tcPr>
            <w:tcW w:w="40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46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520</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799</w:t>
            </w:r>
          </w:p>
        </w:tc>
      </w:tr>
      <w:tr>
        <w:trPr>
          <w:trHeight w:val="16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4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491</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188</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46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449</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1,409</w:t>
            </w:r>
          </w:p>
        </w:tc>
      </w:tr>
      <w:tr>
        <w:trPr>
          <w:trHeight w:val="16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4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434</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623</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46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401</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474</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2030-2035</w:t>
            </w:r>
          </w:p>
        </w:tc>
        <w:tc>
          <w:tcPr>
            <w:tcW w:w="4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1,461</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4,802</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plans are unfunded, the Company’s anticipated contributions for 2025 are equal to its estimated benefits payments.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Retirement Obligations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participates in various other defined contribution and government-mandated retirement plans based on local law or custom. The Company periodically makes required contributions for certain of these plans, whereas other plans are unfunded retirement bonus plans which will be paid at the employee's retirement date. At December 31, 2024 and 2023, the accompanying consolidated balance sheets include $10,518 and $11,087, respectively, within accrued pension and other postretirement costs related to these plans.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U.S. employees are eligible to participate in a 401(k) savings plan, which provides for Company matching contributions. The Company’s matching expense for the plans was $7,915, $7,641, and $7,083 for the years ended December 31, 2024, 2023, and 2022, respectively. No material amounts are included in the accompanying consolidated balance sheets at December 31, 2024 and 2023 related to unfunded 401(k) contributions.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Certain key employees participate in a deferred compensation plan. During the years ended December 31, 2024, 2023, and 2022, these employees could defer a portion of their compensation until retirement, or elect shorter deferral periods. The Company maintains a liability within other noncurrent liabilities on its consolidated balance sheets related to these deferrals. The Company maintains a non-qualified trust, referred to as a “rabbi” trust, to fund payments under this plan. Rabbi trust assets are subject to creditor claims under certain conditions and are not the property of employees. Therefore, they are accounted for as other noncurrent assets. Assets held in trust related to the deferred compensation plan at December 31, 2024 and 2023 were approximately $32,601 and $28,838, respectively.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12 – Stock-Based Compensation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2023 Long-Term Incentive Plan</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implemented the Vishay Intertechnology, Inc. 2023 Long-Term Incentive Plan (the "2023 Plan") after receiving stockholder approval at its 2023 Annual Meeting of Stockholders on May 23, 2023. The 2023 Plan allows the Company to grant up to 6,000,000 shares (subject to certain adjustments described in the 2023 Plan) of stock options, stock appreciation rights, restricted stock, restricted stock units, other stock-based awards, phantom stock units, and other cash-based awards to employees, directors, consultants, and other service providers of the Company and its affiliates. Such instruments are available for grant until March 24, 2033. At December 31, 2024, the Company has reserved 3,530,000 shares of common stock for future grants of equity awards pursuant to the 2023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2007 Stock Incentive Program</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Under the Company's 2007 Stock Incentive Program (the "2007 Program"), as amended and restated, certain executive officers and board members of the Company were granted restricted stock units. No further awards will be granted pursuant to the 2007 Program. Pursuant to the terms of the 2023 Plan, any shares of common stock that are subject to outstanding awards granted pursuant to the 2007 Program that subsequently cease to be subject to such awards as a result of the termination, expiration, cancellation, or forfeiture of such awards and any shares of common stock withheld in settlement of tax withholding obligations associated with outstanding awards granted pursuant to the 2007 Program may become available for issuance under the 2023 Plan.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All RSUs granted pursuant to the 2007 Program and the 2023 Plan contain service vesting conditions. Certain RSUs also contain performance or market vesting conditions. The Company recognizes compensation cost for RSUs that are expected to vest and records cumulative adjustments in the period that the expectation changes.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share-based compensation expense recognized:</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7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gridSpan w:val="6"/>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60"/>
        </w:trPr>
        <w:tc>
          <w:tcPr>
            <w:tcW w:w="7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20,803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16,425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6,323</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Phantom stock units</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222</w:t>
            </w:r>
          </w:p>
        </w:tc>
      </w:tr>
      <w:tr>
        <w:trPr>
          <w:trHeight w:val="20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20,921</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6,545</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unrecognized compensation cost and the weighted average remaining amortization periods at December 31, 2024 </w:t>
      </w:r>
      <w:r>
        <w:rPr>
          <w:rFonts w:ascii="Times New Roman" w:cs="Times New Roman" w:eastAsia="Times New Roman" w:hAnsi="Times New Roman"/>
          <w:sz w:val="14"/>
          <w:szCs w:val="14"/>
          <w:i w:val="1"/>
          <w:iCs w:val="1"/>
          <w:color w:val="auto"/>
        </w:rPr>
        <w:t>(amortization periods in years)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82"/>
        </w:trPr>
        <w:tc>
          <w:tcPr>
            <w:tcW w:w="8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Periods</w:t>
            </w:r>
          </w:p>
        </w:tc>
        <w:tc>
          <w:tcPr>
            <w:tcW w:w="120" w:type="dxa"/>
            <w:vAlign w:val="bottom"/>
          </w:tcPr>
          <w:p>
            <w:pPr>
              <w:spacing w:after="0"/>
              <w:rPr>
                <w:sz w:val="15"/>
                <w:szCs w:val="15"/>
                <w:color w:val="auto"/>
              </w:rPr>
            </w:pPr>
          </w:p>
        </w:tc>
      </w:tr>
      <w:tr>
        <w:trPr>
          <w:trHeight w:val="160"/>
        </w:trPr>
        <w:tc>
          <w:tcPr>
            <w:tcW w:w="8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25,410</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Phantom stock units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25,410</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308"/>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The Company currently expects all of the unrecognized compensation cost presented in the table above to be recognized.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9" w:name="page110"/>
    <w:bookmarkEnd w:id="109"/>
    <w:p>
      <w:pPr>
        <w:jc w:val="center"/>
        <w:ind w:right="-7"/>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auto"/>
        </w:rPr>
        <w:t>Note 12 – Stock-Based Compensation (continued)</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Each RSU entitles the recipient to receive a share of common stock when the RSU vests.</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 xml:space="preserve">RSU activity is presented below </w:t>
      </w:r>
      <w:r>
        <w:rPr>
          <w:rFonts w:ascii="Times New Roman" w:cs="Times New Roman" w:eastAsia="Times New Roman" w:hAnsi="Times New Roman"/>
          <w:sz w:val="14"/>
          <w:szCs w:val="14"/>
          <w:i w:val="1"/>
          <w:iCs w:val="1"/>
          <w:color w:val="auto"/>
        </w:rPr>
        <w:t>(number of RSUs 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3160" w:type="dxa"/>
            <w:vAlign w:val="bottom"/>
          </w:tcPr>
          <w:p>
            <w:pPr>
              <w:spacing w:after="0"/>
              <w:rPr>
                <w:sz w:val="15"/>
                <w:szCs w:val="15"/>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48"/>
              <w:spacing w:after="0" w:line="14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48"/>
              <w:spacing w:after="0" w:line="14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4"/>
                <w:szCs w:val="14"/>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2"/>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3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22"/>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of year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23.03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19.73</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20.08</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20.39</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24.34</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19.13</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22.95</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18.86</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20.04</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Cancelled or forfeited</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23.14</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24.83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20.50</w:t>
            </w:r>
          </w:p>
        </w:tc>
      </w:tr>
      <w:tr>
        <w:trPr>
          <w:trHeight w:val="20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year</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21.37</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19.73</w:t>
            </w:r>
          </w:p>
        </w:tc>
      </w:tr>
      <w:tr>
        <w:trPr>
          <w:trHeight w:val="138"/>
        </w:trPr>
        <w:tc>
          <w:tcPr>
            <w:tcW w:w="316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to vest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3" w:lineRule="exact"/>
        <w:rPr>
          <w:sz w:val="20"/>
          <w:szCs w:val="20"/>
          <w:color w:val="auto"/>
        </w:rPr>
      </w:pPr>
    </w:p>
    <w:p>
      <w:pPr>
        <w:ind w:left="8" w:right="420" w:hanging="8"/>
        <w:spacing w:after="0" w:line="279" w:lineRule="auto"/>
        <w:tabs>
          <w:tab w:leader="none" w:pos="9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in certain countries are granted equity-linked awards that will be settled in cash and are accounted for as liability awards. The liability awards are not material. The number of RSUs granted excludes these awards. ** The number of RSUs vested includes shares that the Company withheld on behalf of employees to satisfy the statutory tax withholding requirements.</w:t>
      </w:r>
    </w:p>
    <w:p>
      <w:pPr>
        <w:spacing w:after="0" w:line="104"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4"/>
          <w:szCs w:val="14"/>
          <w:color w:val="auto"/>
        </w:rPr>
        <w:t xml:space="preserve">The number of performance-based RSUs that are scheduled to vest increases ratably based on the achievement of defined performance and market criteria between the established target and maximum levels. RSUs with performance-based and market-based vesting criteria are expected to vest as follows </w:t>
      </w:r>
      <w:r>
        <w:rPr>
          <w:rFonts w:ascii="Times New Roman" w:cs="Times New Roman" w:eastAsia="Times New Roman" w:hAnsi="Times New Roman"/>
          <w:sz w:val="14"/>
          <w:szCs w:val="14"/>
          <w:i w:val="1"/>
          <w:iCs w:val="1"/>
          <w:color w:val="auto"/>
        </w:rPr>
        <w:t>(number of RSUs in thousands)</w:t>
      </w:r>
      <w:r>
        <w:rPr>
          <w:rFonts w:ascii="Times New Roman" w:cs="Times New Roman" w:eastAsia="Times New Roman" w:hAnsi="Times New Roman"/>
          <w:sz w:val="14"/>
          <w:szCs w:val="14"/>
          <w:color w:val="auto"/>
        </w:rPr>
        <w:t>:</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Expected to</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Not Expected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20" w:type="dxa"/>
            <w:vAlign w:val="bottom"/>
          </w:tcPr>
          <w:p>
            <w:pPr>
              <w:spacing w:after="0"/>
              <w:rPr>
                <w:sz w:val="15"/>
                <w:szCs w:val="15"/>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Vest</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 Vest</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7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2025***</w:t>
            </w:r>
          </w:p>
        </w:tc>
        <w:tc>
          <w:tcPr>
            <w:tcW w:w="120" w:type="dxa"/>
            <w:vAlign w:val="bottom"/>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4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85"/>
              </w:rPr>
              <w:t>168</w:t>
            </w:r>
          </w:p>
        </w:tc>
        <w:tc>
          <w:tcPr>
            <w:tcW w:w="120" w:type="dxa"/>
            <w:vAlign w:val="bottom"/>
            <w:shd w:val="clear" w:color="auto" w:fill="CCEEFF"/>
          </w:tcPr>
          <w:p>
            <w:pPr>
              <w:spacing w:after="0"/>
              <w:rPr>
                <w:sz w:val="13"/>
                <w:szCs w:val="13"/>
                <w:color w:val="auto"/>
              </w:rPr>
            </w:pPr>
          </w:p>
        </w:tc>
      </w:tr>
      <w:tr>
        <w:trPr>
          <w:trHeight w:val="162"/>
        </w:trPr>
        <w:tc>
          <w:tcPr>
            <w:tcW w:w="7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 2026</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167</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167</w:t>
            </w:r>
          </w:p>
        </w:tc>
      </w:tr>
      <w:tr>
        <w:trPr>
          <w:trHeight w:val="162"/>
        </w:trPr>
        <w:tc>
          <w:tcPr>
            <w:tcW w:w="7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2027</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585</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585</w:t>
            </w:r>
          </w:p>
        </w:tc>
      </w:tr>
      <w:tr>
        <w:trPr>
          <w:trHeight w:val="188"/>
        </w:trPr>
        <w:tc>
          <w:tcPr>
            <w:tcW w:w="7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 2029</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175</w:t>
            </w:r>
          </w:p>
        </w:tc>
      </w:tr>
    </w:tbl>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The performance vesting criteria for the performance-based RSUs with a vesting date of January 1, 2025 were achieved.</w:t>
      </w:r>
    </w:p>
    <w:p>
      <w:pPr>
        <w:spacing w:after="0" w:line="161"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RSUs, including those with performance-based and market-based vesting criteria, generally vest over three years, provided that vesting may accelerate in certain cases, such as in connection with a qualifying retirement or certain involuntary terminations of employment, with certain variation of criteria for executive officers and non-executive employees.</w:t>
      </w:r>
    </w:p>
    <w:p>
      <w:pPr>
        <w:spacing w:after="0" w:line="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10" w:name="page111"/>
    <w:bookmarkEnd w:id="110"/>
    <w:p>
      <w:pPr>
        <w:jc w:val="center"/>
        <w:ind w:right="-7"/>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auto"/>
        </w:rPr>
        <w:t>Note 12 – Stock-Based Compensation (continued)</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i w:val="1"/>
          <w:iCs w:val="1"/>
          <w:color w:val="auto"/>
        </w:rPr>
        <w:t>Phantom Stock Units</w:t>
      </w:r>
    </w:p>
    <w:p>
      <w:pPr>
        <w:spacing w:after="0" w:line="149"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Each phantom stock unit entitles the recipient to receive a share of common stock at the individual's termination of employment or any other future date specified in the applicable employment agreement. Phantom stock units participate in dividend distribution on the same basis as the Company's common stock and Class B common stock. Dividend equivalents are issued in the form of additional units of phantom stock. The phantom stock units are fully vested at all times.</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 xml:space="preserve">The following table summarizes the Company’s phantom stock units activity </w:t>
      </w:r>
      <w:r>
        <w:rPr>
          <w:rFonts w:ascii="Times New Roman" w:cs="Times New Roman" w:eastAsia="Times New Roman" w:hAnsi="Times New Roman"/>
          <w:sz w:val="14"/>
          <w:szCs w:val="14"/>
          <w:i w:val="1"/>
          <w:iCs w:val="1"/>
          <w:color w:val="auto"/>
        </w:rPr>
        <w:t>(number of phantom stock units 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left="48"/>
              <w:spacing w:after="0" w:line="14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20"/>
              <w:spacing w:after="0" w:line="14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0" w:type="dxa"/>
            <w:vAlign w:val="bottom"/>
          </w:tcPr>
          <w:p>
            <w:pPr>
              <w:jc w:val="center"/>
              <w:ind w:right="148"/>
              <w:spacing w:after="0" w:line="140"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320"/>
              <w:spacing w:after="0" w:line="14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0" w:type="dxa"/>
            <w:vAlign w:val="bottom"/>
          </w:tcPr>
          <w:p>
            <w:pPr>
              <w:jc w:val="center"/>
              <w:ind w:right="148"/>
              <w:spacing w:after="0" w:line="140"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12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100" w:type="dxa"/>
            <w:vAlign w:val="bottom"/>
          </w:tcPr>
          <w:p>
            <w:pPr>
              <w:spacing w:after="0"/>
              <w:rPr>
                <w:sz w:val="14"/>
                <w:szCs w:val="14"/>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Beginning of year</w:t>
            </w: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Granted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23.51</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21.48</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22.20</w:t>
            </w:r>
          </w:p>
        </w:tc>
        <w:tc>
          <w:tcPr>
            <w:tcW w:w="0" w:type="dxa"/>
            <w:vAlign w:val="bottom"/>
          </w:tcPr>
          <w:p>
            <w:pPr>
              <w:spacing w:after="0"/>
              <w:rPr>
                <w:sz w:val="1"/>
                <w:szCs w:val="1"/>
                <w:color w:val="auto"/>
              </w:rPr>
            </w:pPr>
          </w:p>
        </w:tc>
      </w:tr>
      <w:tr>
        <w:trPr>
          <w:trHeight w:val="162"/>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Dividend equivalents issued</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Redeemed for common stock*</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End of year</w:t>
            </w:r>
          </w:p>
        </w:tc>
        <w:tc>
          <w:tcPr>
            <w:tcW w:w="9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548" w:right="2300" w:hanging="5548"/>
        <w:spacing w:after="0" w:line="480" w:lineRule="auto"/>
        <w:tabs>
          <w:tab w:leader="none" w:pos="99"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phantom stock units redeemed for common stock includes shares that the Company withheld on behalf of employees to satisfy the statutory tax withholding requirements. 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13 – Commitments and Contingencies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subject to various federal, state, local, and foreign laws and regulations governing environmental matters, including the use, discharge, and disposal of hazardous materials. The Company’s manufacturing facilities are believed to be in substantial compliance with current laws and regulations. Complying with current laws and regulations has not had a material adverse effect on the Company’s financial condition.</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engaged environmental consultants and attorneys to assist management in evaluating potential liabilities related to environmental matters. Management assesses the input from these consultants along with other information known to the Company in its effort to continually monitor these potential liabilities. Management assesses its environmental exposure on a site-by-site basis, including those sites where the Company has been named as a “potentially responsible party.” Such assessments include the Company’s share of remediation costs, information known to the Company concerning the size of the hazardous waste sites, their years of operation, and the number of past users and their financial viability.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As of December 31, 2024, the Company has accrued environmental liabilities of $14,325, of which $4,897 is included in other accrued liabilities on the accompanying consolidated balance sheet, and $9,428 is included in other noncurrent liabilities on the accompanying consolidated balance sheet.</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While the ultimate outcome of these matters cannot be determined, management does not believe that the final disposition of these matters will have a material adverse effect on the Company’s consolidated financial position, results of operations, or cash flows. The Company’s present and past facilities have been in operation for many years. These facilities have used substances and have generated and disposed of wastes which are or might be considered hazardous. Therefore, it is possible that additional environmental issues may arise in the future, which the Company cannot now predict.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is a party to various claims and lawsuits arising in the normal course of business. The Company is of the opinion that these litigations or claims will not have a material negative effect on its consolidated financial position, results of operations, or cash flows.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Purchase Agreements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maintains long-term purchase agreements with subcontractors, suppliers, and other business partners to ensure access to external capacity and supply. The Company has minimum purchase commitments pursuant to certain of its long-term arrangements with its subcontractors and other suppliers and business partners of $74,551, $8,295, $2,945 and for the years 2025 through 2027, respectively. The Company has the option to purchase amounts in addition to the minimum commitment and, accordingly, actual purchases may be different than the amounts disclosed above. The Company exceeded its minimum purchase commitments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Quality Claims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a party to various product quality claims in the normal course of business. See Note 1 for further information on the Company's warranty obligations.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Employment Agreements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has employment agreements with certain of its senior executives. These employment agreements provide incremental compensation in the event of termination. The Company does not provide any severance or other benefits specifically upon a change in control.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14 – Current Vulnerability Due to Certain Concentrations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Concentrations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customer represented greater than 10% of consolidated net revenue in 2024, 2023, or 2022.</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material portion of the Company's revenues are derived from the worldwide industrial, automotive, telecommunications, and computing markets. These markets have historically experienced wide variations in demand for end products. If demand for these end products should decrease, the producers thereof could reduce their purchases of the Company's products, which could have an adverse effect on the Company's results of operations and financial position.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subsidiaries and product lines have customers which comprise greater than 10% of the subsidiary's or product line's net revenues. The loss of one of these customers could have a material effect on the results of operations of the subsidiary or product line and financial position of the subsidiary, which could result in an impairment charge which could be material to the Company's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Risk Concentrations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Financial instruments with potential credit risk consist principally of cash and cash equivalents, short-term investments, accounts receivable, and notes receivable. Concentrations of credit risk with respect to receivables are generally limited due to the Company’s large number of customers and their dispersion across many countries and industries. No customer comprised greater than 10% of the Company's accounts receivable balance as of December 31, 2024. As of December 31, 2023, one customer comprised 12.4% of the Company's accounts receivable balance. The Company continually monitors the credit risks associated with its accounts receivable and adjusts the allowance for uncollectible accounts accordingly. The credit risk exposure associated with the accounts receivable is limited by the allowance and is not considered material to the financial statements.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maintains cash and cash equivalents and short-term investments with various major financial institutions. The Company is exposed to credit risk related to the potential inability to access liquidity in financial institutions where its cash and cash equivalents and short-term investments are concentrated. As of December 31, 2024, the following financial institutions held over 10% of the Company’s combined cash and cash equivalents and short-term investments balance: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JPMorgan*</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MUFG Bank Ltd.*</w:t>
            </w:r>
          </w:p>
        </w:tc>
        <w:tc>
          <w:tcPr>
            <w:tcW w:w="5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6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Leumi*</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6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HSBC*</w:t>
            </w:r>
          </w:p>
        </w:tc>
        <w:tc>
          <w:tcPr>
            <w:tcW w:w="5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bl>
    <w:p>
      <w:pPr>
        <w:spacing w:after="0"/>
        <w:rPr>
          <w:sz w:val="20"/>
          <w:szCs w:val="20"/>
          <w:color w:val="auto"/>
        </w:rPr>
      </w:pPr>
      <w:r>
        <w:rPr>
          <w:rFonts w:ascii="Times New Roman" w:cs="Times New Roman" w:eastAsia="Times New Roman" w:hAnsi="Times New Roman"/>
          <w:sz w:val="12"/>
          <w:szCs w:val="12"/>
          <w:color w:val="auto"/>
        </w:rPr>
        <w:t>*Participant in Credit Facility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Supplies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the Company’s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 experienced in recent years has, at times, negatively impacted the Company’s ability to manufacture products and to deliver them to customers.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most materials incorporated into the Company's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the Company to temporarily cease or reduce production or incur additional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Many of the metals used in the manufacture of the Company’s products, including gold, copper, and palladium, are traded on active markets and can be subject to significant price volatility. To ensure adequate supply and to provide cost certainty, the Company’s policy is to enter into short-term commitments to purchase defined portions of annual consumption of the raw materials utilized if market prices decline below budget. If after entering into these commitments, the market prices for these raw materials decline, losses are recognized on these adverse purchase commitments.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14 – Current Vulnerability Due to Certain Concentrations (continued)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Company's production can be disrupted by the unavailability of resources, such as water, energy, and gases. The unavailability or reduced availability of these resources could require the Company to reduce production or incur additional costs.</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Company uses third-party foundries and subcontractors for certain of its manufacturing activities, primarily wafer fabrication, the assembly and testing of finished goods, and the manufacturing of certain commodity products. Establishing third-party contract manufacturer relationships can be time consuming and costly, and the number of qualified providers is limited. The Company's agreements with these manufacturers typically require it to commit to purchase services based on forecasted product needs, which may be inaccurate, and, in some cases, require the recognition of losses on these adverse purchase commitments. The Company's agreements may limit its ability to increase production, particularly during periods of growing demand for our products.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 Concentration</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has operations outside the United States, and approximately 74% of revenues earned during 2024 were derived from sales to customers outside the United States. Additionally, as of December 31, 2024, $589,445 of the Company’s cash and cash equivalents and short-term investments were held by subsidiaries outside of the United States. Some of the Company’s products are produced and cash and cash equivalents and short-term investments are held in countries which are subject to risks of political, economic, and military instability. This instability could result in wars, riots, nationalization of industry, currency fluctuations, and labor unrest. These conditions could have an adverse impact on the Company’s ability to operate in these regions and, depending on the extent and severity of these conditions, could materially and adversely affect the Company’s overall financial condition, operating results, and ability to access its liquidity when needed.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2024, the Company’s cash and cash equivalents and short-term investments were concentrated in the following countries:</w:t>
            </w:r>
          </w:p>
        </w:tc>
        <w:tc>
          <w:tcPr>
            <w:tcW w:w="1740" w:type="dxa"/>
            <w:vAlign w:val="bottom"/>
          </w:tcPr>
          <w:p>
            <w:pPr>
              <w:spacing w:after="0"/>
              <w:rPr>
                <w:sz w:val="16"/>
                <w:szCs w:val="16"/>
                <w:color w:val="auto"/>
              </w:rPr>
            </w:pPr>
          </w:p>
        </w:tc>
      </w:tr>
      <w:tr>
        <w:trPr>
          <w:trHeight w:val="136"/>
        </w:trPr>
        <w:tc>
          <w:tcPr>
            <w:tcW w:w="956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62"/>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Singapore</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62"/>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62"/>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Asia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2"/>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Certain of the Company's non-U.S. subsidiaries have cash and cash equivalents and short-term investments deposited in U.S. financial institutions. Of the 10.0% of cash and cash equivalents and short-term investments held in U.S. financial institutions, $48,450 was held by non-U.S. subsidiaries.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has been in operation in Israel for 54 years. The Company has never experienced any material interruption in its operations attributable to these factors, in spite of several Middle East crises, including wars.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4" w:name="page115"/>
    <w:bookmarkEnd w:id="114"/>
    <w:p>
      <w:pPr>
        <w:jc w:val="center"/>
        <w:ind w:right="-7"/>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auto"/>
        </w:rPr>
        <w:t>Note 15 – Segment and Geographic Data</w:t>
      </w:r>
    </w:p>
    <w:p>
      <w:pPr>
        <w:spacing w:after="0" w:line="14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Vishay is a global manufacturer and supplier of electronic components. Vishay operates, and its chief operating decision maker makes strategic and operating decisions with regards to assessing performance and allocating resources based on, six reporting segments: MOSFETs, Diodes, Optoelectronic Components, Resistors, Inductors, and Capacitors. These segments represent groupings of product lines based on their functionality:</w:t>
      </w:r>
    </w:p>
    <w:p>
      <w:pPr>
        <w:spacing w:after="0" w:line="105" w:lineRule="exact"/>
        <w:rPr>
          <w:sz w:val="20"/>
          <w:szCs w:val="20"/>
          <w:color w:val="auto"/>
        </w:rPr>
      </w:pP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Metal oxide semiconductor field effect transistors ("MOSFETs") function as solid state switches to control power.</w:t>
      </w:r>
    </w:p>
    <w:p>
      <w:pPr>
        <w:spacing w:after="0" w:line="17" w:lineRule="exact"/>
        <w:rPr>
          <w:rFonts w:ascii="Times New Roman" w:cs="Times New Roman" w:eastAsia="Times New Roman" w:hAnsi="Times New Roman"/>
          <w:sz w:val="14"/>
          <w:szCs w:val="14"/>
          <w:color w:val="auto"/>
        </w:rPr>
      </w:pPr>
    </w:p>
    <w:p>
      <w:pPr>
        <w:ind w:left="748" w:right="20" w:hanging="748"/>
        <w:spacing w:after="0" w:line="241" w:lineRule="auto"/>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Diodes route, regulate, and block radio frequency, analog, and power signals; protect systems from surges or electrostatic discharge damage; or provide electromagnetic interference filtering.</w:t>
      </w: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Optoelectronic components emit light, detect light, or do both.</w:t>
      </w:r>
    </w:p>
    <w:p>
      <w:pPr>
        <w:spacing w:after="0" w:line="1" w:lineRule="exact"/>
        <w:rPr>
          <w:rFonts w:ascii="Times New Roman" w:cs="Times New Roman" w:eastAsia="Times New Roman" w:hAnsi="Times New Roman"/>
          <w:sz w:val="14"/>
          <w:szCs w:val="14"/>
          <w:color w:val="auto"/>
        </w:rPr>
      </w:pP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Resistors are basic components used in all forms of electronic circuitry to adjust and regulate levels of voltage and current.</w:t>
      </w:r>
    </w:p>
    <w:p>
      <w:pPr>
        <w:spacing w:after="0" w:line="1" w:lineRule="exact"/>
        <w:rPr>
          <w:rFonts w:ascii="Times New Roman" w:cs="Times New Roman" w:eastAsia="Times New Roman" w:hAnsi="Times New Roman"/>
          <w:sz w:val="14"/>
          <w:szCs w:val="14"/>
          <w:color w:val="auto"/>
        </w:rPr>
      </w:pP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Inductors use an internal magnetic field to change alternating current phase and resist alternating current.</w:t>
      </w:r>
    </w:p>
    <w:p>
      <w:pPr>
        <w:spacing w:after="0" w:line="1" w:lineRule="exact"/>
        <w:rPr>
          <w:rFonts w:ascii="Times New Roman" w:cs="Times New Roman" w:eastAsia="Times New Roman" w:hAnsi="Times New Roman"/>
          <w:sz w:val="14"/>
          <w:szCs w:val="14"/>
          <w:color w:val="auto"/>
        </w:rPr>
      </w:pP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Capacitors store energy and discharge it when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-717550</wp:posOffset>
            </wp:positionV>
            <wp:extent cx="7178040"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717804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17804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09"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Vishay's reporting segments generate substantially all of their revenue from product sales to the industrial, automotive, telecommunications, computing, consumer products, power supplies, military and aerospace, and medical end markets. An immaterial portion of revenues are from royalties.</w:t>
      </w:r>
    </w:p>
    <w:p>
      <w:pPr>
        <w:spacing w:after="0" w:line="90"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14"/>
          <w:szCs w:val="14"/>
          <w:color w:val="auto"/>
        </w:rPr>
        <w:t>The Company’s chief operating decision maker is its President and Chief Executive Officer. The chief operating decision maker uses both gross profit and operating income, exclusive of certain items ("segment operating income") to make decisions, allocate resources, and assess performance, and the Company thus considers segment gross profit and operating income to be its measures of segment profit or loss. Only dedicated, direct selling, general, and administrative expenses of the segments are included in the calculation of segment operating income. The Company's calculation of segment operating income excludes selling, general, and administrative costs of its global operations, sales and marketing, information systems, finance, and administration groups, as well as restructuring and severance costs, goodwill impairment charges, the direct impact of the COVID-19 pandemic, and other items affecting comparability. Management believes that evaluating segment performance excluding such items is meaningful because it provides insight with respect to intrinsic operating results of the Company. These items represent reconciling items between segment operating income and consolidated operating income. Business segment assets are the owned or allocated assets used by each business.</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Cost of products sold (excluding depreciation) is defined as the aggregate costs incurred in the production of goods for sale, excluding depreciation expense.</w:t>
      </w:r>
    </w:p>
    <w:p>
      <w:pPr>
        <w:spacing w:after="0" w:line="163"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Depreciation expense is defined as the aggregate expense recognized for the allocation of costs of tangible assets used in the production of goods to the periods that benefit from the use of the assets. It excludes depreciation expense attributed to selling, general, and administrative activities.</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Segment gross profit is calculated as net revenues determined based on the U.S. GAAP definition, minus costs of goods sold and depreciation expense, as defined above.</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Segment operating expenses is defined as the dedicated, direct selling, general, and administrative expenses, including research and development expenses attributed to the segment.</w:t>
      </w:r>
    </w:p>
    <w:p>
      <w:pPr>
        <w:spacing w:after="0" w:line="200" w:lineRule="exact"/>
        <w:rPr>
          <w:sz w:val="20"/>
          <w:szCs w:val="20"/>
          <w:color w:val="auto"/>
        </w:rPr>
      </w:pPr>
    </w:p>
    <w:p>
      <w:pPr>
        <w:spacing w:after="0" w:line="2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15" w:name="page116"/>
    <w:bookmarkEnd w:id="115"/>
    <w:p>
      <w:pPr>
        <w:jc w:val="center"/>
        <w:ind w:right="2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Note 15 – Segment and Geographic Data (continued)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tables set forth business segment information: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Optoelectronic</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Corporate /</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MOSFETs</w:t>
            </w:r>
          </w:p>
        </w:tc>
        <w:tc>
          <w:tcPr>
            <w:tcW w:w="14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Diodes</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Resistors</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Inductors</w:t>
            </w:r>
          </w:p>
        </w:tc>
        <w:tc>
          <w:tcPr>
            <w:tcW w:w="1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Capacitors</w:t>
            </w:r>
          </w:p>
        </w:tc>
        <w:tc>
          <w:tcPr>
            <w:tcW w:w="8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601,979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581,975</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212,368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725,614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356,355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459,296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2,937,587</w:t>
            </w:r>
          </w:p>
        </w:tc>
      </w:tr>
      <w:tr>
        <w:trPr>
          <w:trHeight w:val="162"/>
        </w:trPr>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products sold (excluding depreciation)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465,536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414,893</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158,742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524,808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231,456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330,460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2,125,895</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expense in cost of products sold</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49,342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45,920</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15,374</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41,848</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17,819</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15,097</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185,400</w:t>
            </w:r>
          </w:p>
        </w:tc>
      </w:tr>
      <w:tr>
        <w:trPr>
          <w:trHeight w:val="16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of products sold</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514,878</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460,813</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174,116</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566,656</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249,275</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345,557</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2,311,295</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87,101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121,162</w:t>
            </w:r>
          </w:p>
        </w:tc>
        <w:tc>
          <w:tcPr>
            <w:tcW w:w="26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38,252</w:t>
            </w:r>
          </w:p>
        </w:tc>
        <w:tc>
          <w:tcPr>
            <w:tcW w:w="1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158,958</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107,080</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113,739</w:t>
            </w: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626,292</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80,243</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25,281</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21,393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33,217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14,818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23,469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198,421</w:t>
            </w:r>
          </w:p>
        </w:tc>
      </w:tr>
      <w:tr>
        <w:trPr>
          <w:trHeight w:val="20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6,858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95,881</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16,859</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125,741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92,262</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90,270</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427,871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8"/>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51,301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47,099</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15,784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42,568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17,940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15,293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8,976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198,961</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224,998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29,534</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10,451</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30,301</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6,339</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13,609</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4,847</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320,079</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 as of 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1,033,555</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724,603</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346,866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958,985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342,286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430,871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273,530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4,110,696</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2"/>
        </w:trPr>
        <w:tc>
          <w:tcPr>
            <w:tcW w:w="27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Year ended December 31, 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778,754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690,540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243,146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843,472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347,392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498,741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3,402,045</w:t>
            </w:r>
          </w:p>
        </w:tc>
      </w:tr>
      <w:tr>
        <w:trPr>
          <w:trHeight w:val="144"/>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products sold (excluding depreciation)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485,086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471,088</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164,791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566,640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220,090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358,120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2,265,815</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expense in cost of products sold</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34,282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43,831</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16,129</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38,404</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14,888</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14,203</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161,737</w:t>
            </w:r>
          </w:p>
        </w:tc>
      </w:tr>
      <w:tr>
        <w:trPr>
          <w:trHeight w:val="16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of products sold</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519,368</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514,919</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180,920</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605,044</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234,978</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372,323</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2,427,552</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175,621</w:t>
            </w:r>
          </w:p>
        </w:tc>
        <w:tc>
          <w:tcPr>
            <w:tcW w:w="26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62,226</w:t>
            </w:r>
          </w:p>
        </w:tc>
        <w:tc>
          <w:tcPr>
            <w:tcW w:w="1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238,428</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112,414</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126,418</w:t>
            </w: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974,493</w:t>
            </w:r>
          </w:p>
        </w:tc>
      </w:tr>
      <w:tr>
        <w:trPr>
          <w:trHeight w:val="144"/>
        </w:trPr>
        <w:tc>
          <w:tcPr>
            <w:tcW w:w="1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spacing w:after="0"/>
              <w:rPr>
                <w:sz w:val="12"/>
                <w:szCs w:val="12"/>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63,593</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22,159</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19,263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29,003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12,730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21,433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168,181</w:t>
            </w:r>
          </w:p>
        </w:tc>
      </w:tr>
      <w:tr>
        <w:trPr>
          <w:trHeight w:val="20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195,793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153,462</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209,425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99,684</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104,985</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806,312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8"/>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44,904</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16,496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39,781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14,963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8,079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174,457</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132,543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62,185</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23,228</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67,085</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10,767</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21,914</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11,688</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329,410</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 as of 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702,299</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852,703</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352,984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946,585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365,111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459,653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560,588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4,239,923</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2"/>
        </w:trPr>
        <w:tc>
          <w:tcPr>
            <w:tcW w:w="27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Year ended December 31, 2022: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762,260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765,220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296,384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832,806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331,086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509,645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3,497,401</w:t>
            </w:r>
          </w:p>
        </w:tc>
      </w:tr>
      <w:tr>
        <w:trPr>
          <w:trHeight w:val="144"/>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products sold (excluding depreciation)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458,283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528,278</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179,848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536,514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211,969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371,766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6,661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2,293,319</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expense in cost of products sold</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29,479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38,837</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13,749</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34,220</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14,768</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14,040</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145,093</w:t>
            </w:r>
          </w:p>
        </w:tc>
      </w:tr>
      <w:tr>
        <w:trPr>
          <w:trHeight w:val="16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of products sold</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487,762</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567,115</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193,597</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570,734</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226,737</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385,806</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2,438,412</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274,498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198,105</w:t>
            </w:r>
          </w:p>
        </w:tc>
        <w:tc>
          <w:tcPr>
            <w:tcW w:w="26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102,787</w:t>
            </w:r>
          </w:p>
        </w:tc>
        <w:tc>
          <w:tcPr>
            <w:tcW w:w="1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262,072</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104,349</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123,839</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(6,661)</w:t>
            </w:r>
          </w:p>
        </w:tc>
        <w:tc>
          <w:tcPr>
            <w:tcW w:w="1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1,058,989</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45,806</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21,683</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17,331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26,813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10,896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19,029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141,558</w:t>
            </w:r>
          </w:p>
        </w:tc>
      </w:tr>
      <w:tr>
        <w:trPr>
          <w:trHeight w:val="20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228,692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176,422</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85,456</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235,259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104,810</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917,431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8"/>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40,014</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34,903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14,927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7,118</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155,864</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90,297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69,126</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27,776</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76,702</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35,102</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15,214</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11,091</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325,308</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44"/>
        </w:trPr>
        <w:tc>
          <w:tcPr>
            <w:tcW w:w="276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Total assets as of December 31, 2022:</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672,048</w:t>
            </w:r>
          </w:p>
        </w:tc>
        <w:tc>
          <w:tcPr>
            <w:tcW w:w="20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814,017</w:t>
            </w:r>
          </w:p>
        </w:tc>
        <w:tc>
          <w:tcPr>
            <w:tcW w:w="2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385,388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861,870</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322,893</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496,924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312,513</w:t>
            </w:r>
          </w:p>
        </w:tc>
        <w:tc>
          <w:tcPr>
            <w:tcW w:w="180" w:type="dxa"/>
            <w:vAlign w:val="bottom"/>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3,865,653</w:t>
            </w:r>
          </w:p>
        </w:tc>
      </w:tr>
      <w:tr>
        <w:trPr>
          <w:trHeight w:val="188"/>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80"/>
        </w:trPr>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F-47</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1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15 – Segment and Geographic Data (continued)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322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3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427,871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806,312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917,431</w:t>
            </w:r>
          </w:p>
        </w:tc>
        <w:tc>
          <w:tcPr>
            <w:tcW w:w="0" w:type="dxa"/>
            <w:vAlign w:val="bottom"/>
          </w:tcPr>
          <w:p>
            <w:pPr>
              <w:spacing w:after="0"/>
              <w:rPr>
                <w:sz w:val="1"/>
                <w:szCs w:val="1"/>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Restructuring and Severance Costs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(40,614)</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(66,487)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Impact of COVID-19 Pandemic on Selling, General, and Administrative Expenses</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Unallocated Selling, General, and Administrative Expenses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(315,143)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(320,168)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(301,399)</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Consolidated Operating Income (Loss)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5,627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486,144</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615,486</w:t>
            </w: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Unallocated Other Income (Expense)</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(8,016)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(18,742)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(21,981)</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Consolidated Income (Loss) Before Taxes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(2,389)</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467,402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593,505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broad line of products that it sells to OEMs, EMS companies, and independent distributors. The distribution of sales by customer type is shown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Distributors</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1,578,172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1,798,291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2,019,842</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OEMs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1,156,852</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1,378,065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1,229,114</w:t>
            </w: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EMS companies</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202,563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225,689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248,445</w:t>
            </w: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2,937,587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3,402,045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3,497,401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revenues were attributable to customers in the following regions:</w:t>
            </w:r>
          </w:p>
        </w:tc>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76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Asia</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1,149,138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1,255,563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1,347,893</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1,029,901</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1,255,652</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1,146,898</w:t>
            </w: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Americas</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758,548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890,830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1,002,610</w:t>
            </w: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2,937,587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3,402,045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3,497,401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760" w:type="dxa"/>
            <w:vAlign w:val="bottom"/>
          </w:tcPr>
          <w:p>
            <w:pPr>
              <w:spacing w:after="0"/>
              <w:rPr>
                <w:sz w:val="24"/>
                <w:szCs w:val="24"/>
                <w:color w:val="auto"/>
              </w:rPr>
            </w:pPr>
          </w:p>
        </w:tc>
        <w:tc>
          <w:tcPr>
            <w:tcW w:w="2840" w:type="dxa"/>
            <w:vAlign w:val="bottom"/>
            <w:gridSpan w:val="2"/>
          </w:tcPr>
          <w:p>
            <w:pPr>
              <w:jc w:val="right"/>
              <w:ind w:right="1768"/>
              <w:spacing w:after="0"/>
              <w:rPr>
                <w:sz w:val="20"/>
                <w:szCs w:val="20"/>
                <w:color w:val="auto"/>
              </w:rPr>
            </w:pPr>
            <w:r>
              <w:rPr>
                <w:rFonts w:ascii="Times New Roman" w:cs="Times New Roman" w:eastAsia="Times New Roman" w:hAnsi="Times New Roman"/>
                <w:sz w:val="12"/>
                <w:szCs w:val="12"/>
                <w:color w:val="auto"/>
              </w:rPr>
              <w:t>F-48</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76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15 – Segment and Geographic Data (continued)</w:t>
      </w:r>
    </w:p>
    <w:p>
      <w:pPr>
        <w:spacing w:after="0" w:line="1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The Company generates substantially all of its revenue from product sales to end customers in the industrial, automotive, military and aerospace, medical, power supplies, telecommunications, consumer products, and computing end markets. Sales by end market are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992,192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1,216,078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1,377,043</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Automotive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1,097,713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1,202,923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1,067,499</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Military and Aerospace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325,318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271,871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215,078</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Medical</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147,845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152,611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133,808</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374,519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558,562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703,973</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2,937,587</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3,402,045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3,497,401</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*Power supplies, telecommunications, consumer products, and computing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net revenues based on revenues generated by subsidiaries located within the identified geographic area: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400" w:type="dxa"/>
            <w:vAlign w:val="bottom"/>
            <w:gridSpan w:val="2"/>
          </w:tcPr>
          <w:p>
            <w:pPr>
              <w:spacing w:after="0"/>
              <w:rPr>
                <w:sz w:val="13"/>
                <w:szCs w:val="13"/>
                <w:color w:val="auto"/>
              </w:rPr>
            </w:pPr>
          </w:p>
        </w:tc>
        <w:tc>
          <w:tcPr>
            <w:tcW w:w="11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761,218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879,734</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974,503</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871,479</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1,076,812</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1,005,796</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148,055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151,160</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142,454</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22,517</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29,560</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25,844</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Asia</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1,134,318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1,264,779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1,348,804</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2,937,587</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3,402,045</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3,497,401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property and equipment based on physical location:</w:t>
            </w:r>
          </w:p>
        </w:tc>
        <w:tc>
          <w:tcPr>
            <w:tcW w:w="2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20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149,487</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162,428</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359,430</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305,504</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214,838</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137,109</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147,891</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109,277</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98,800</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236,068</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250,209</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Republic of China (Taiwan)</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204,757</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207,515</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Other Asia</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119,236</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108,055</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15,536</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13,489</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1,545,738</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1,294,646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0" w:type="dxa"/>
            <w:vAlign w:val="bottom"/>
            <w:gridSpan w:val="2"/>
            <w:vMerge w:val="restart"/>
          </w:tcPr>
          <w:p>
            <w:pPr>
              <w:jc w:val="right"/>
              <w:ind w:right="1768"/>
              <w:spacing w:after="0"/>
              <w:rPr>
                <w:sz w:val="20"/>
                <w:szCs w:val="20"/>
                <w:color w:val="auto"/>
              </w:rPr>
            </w:pPr>
            <w:r>
              <w:rPr>
                <w:rFonts w:ascii="Times New Roman" w:cs="Times New Roman" w:eastAsia="Times New Roman" w:hAnsi="Times New Roman"/>
                <w:sz w:val="12"/>
                <w:szCs w:val="12"/>
                <w:color w:val="auto"/>
              </w:rPr>
              <w:t>F-49</w:t>
            </w: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p>
        </w:tc>
        <w:tc>
          <w:tcPr>
            <w:tcW w:w="240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2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16 – Earnings Per Share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restricted stock units (see Note 12), convertible debt instruments (see Note 6), and other potentially dilutive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sets forth the computation of basic and diluted earnings per share attributable to Vishay stockholders </w:t>
      </w:r>
      <w:r>
        <w:rPr>
          <w:rFonts w:ascii="Times New Roman" w:cs="Times New Roman" w:eastAsia="Times New Roman" w:hAnsi="Times New Roman"/>
          <w:sz w:val="14"/>
          <w:szCs w:val="14"/>
          <w:i w:val="1"/>
          <w:iCs w:val="1"/>
          <w:color w:val="auto"/>
        </w:rPr>
        <w:t>(shares 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7"/>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earnings (loss) attributable to Vishay stockholders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(31,150)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323,820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428,810</w:t>
            </w: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Denominator for basic earnings (loss) per share: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 average shares</w:t>
            </w: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136,838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139,318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143,176</w:t>
            </w:r>
          </w:p>
        </w:tc>
      </w:tr>
      <w:tr>
        <w:trPr>
          <w:trHeight w:val="162"/>
        </w:trPr>
        <w:tc>
          <w:tcPr>
            <w:tcW w:w="7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phantom stock units</w:t>
            </w: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223</w:t>
            </w:r>
          </w:p>
        </w:tc>
      </w:tr>
      <w:tr>
        <w:trPr>
          <w:trHeight w:val="16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Adjusted weighted average shares - basic</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136,964</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139,447</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143,399</w:t>
            </w:r>
          </w:p>
        </w:tc>
        <w:tc>
          <w:tcPr>
            <w:tcW w:w="120" w:type="dxa"/>
            <w:vAlign w:val="bottom"/>
            <w:shd w:val="clear" w:color="auto" w:fill="CCEEFF"/>
          </w:tcPr>
          <w:p>
            <w:pPr>
              <w:spacing w:after="0"/>
              <w:rPr>
                <w:sz w:val="13"/>
                <w:szCs w:val="13"/>
                <w:color w:val="auto"/>
              </w:rPr>
            </w:pP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stock units</w:t>
            </w: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516</w:t>
            </w:r>
          </w:p>
        </w:tc>
      </w:tr>
      <w:tr>
        <w:trPr>
          <w:trHeight w:val="160"/>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Dilutive potential common shares</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shd w:val="clear" w:color="auto" w:fill="CCEEFF"/>
          </w:tcPr>
          <w:p>
            <w:pPr>
              <w:spacing w:after="0"/>
              <w:rPr>
                <w:sz w:val="13"/>
                <w:szCs w:val="13"/>
                <w:color w:val="auto"/>
              </w:rPr>
            </w:pPr>
          </w:p>
        </w:tc>
      </w:tr>
      <w:tr>
        <w:trPr>
          <w:trHeight w:val="142"/>
        </w:trPr>
        <w:tc>
          <w:tcPr>
            <w:tcW w:w="73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Denominator for diluted earnings (loss) per share: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Adjusted weighted average shares - diluted</w:t>
            </w: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136,964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140,246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143,915</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7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gridSpan w:val="3"/>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spacing w:after="0"/>
              <w:rPr>
                <w:sz w:val="10"/>
                <w:szCs w:val="10"/>
                <w:color w:val="auto"/>
              </w:rPr>
            </w:pP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(loss) per share attributable to Vishay stockholders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(0.23)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2.99</w:t>
            </w: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(loss) per share attributable to Vishay stockholders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(0.23)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2.98</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Diluted earnings per share for the years presented do not reflect the following weighted average potential common shares, as the effect would be antidilutive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gridSpan w:val="5"/>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8120" w:type="dxa"/>
            <w:vAlign w:val="bottom"/>
            <w:gridSpan w:val="2"/>
          </w:tcPr>
          <w:p>
            <w:pPr>
              <w:spacing w:after="0"/>
              <w:rPr>
                <w:sz w:val="12"/>
                <w:szCs w:val="12"/>
                <w:color w:val="auto"/>
              </w:rPr>
            </w:pPr>
          </w:p>
        </w:tc>
        <w:tc>
          <w:tcPr>
            <w:tcW w:w="60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r>
      <w:tr>
        <w:trPr>
          <w:trHeight w:val="162"/>
        </w:trPr>
        <w:tc>
          <w:tcPr>
            <w:tcW w:w="8120" w:type="dxa"/>
            <w:vAlign w:val="bottom"/>
            <w:gridSpan w:val="2"/>
            <w:shd w:val="clear" w:color="auto" w:fill="CCEEFF"/>
          </w:tcPr>
          <w:p>
            <w:pPr>
              <w:jc w:val="right"/>
              <w:ind w:right="6808"/>
              <w:spacing w:after="0"/>
              <w:rPr>
                <w:sz w:val="20"/>
                <w:szCs w:val="20"/>
                <w:color w:val="auto"/>
              </w:rPr>
            </w:pPr>
            <w:r>
              <w:rPr>
                <w:rFonts w:ascii="Times New Roman" w:cs="Times New Roman" w:eastAsia="Times New Roman" w:hAnsi="Times New Roman"/>
                <w:sz w:val="14"/>
                <w:szCs w:val="14"/>
                <w:color w:val="auto"/>
              </w:rPr>
              <w:t>Restricted stock units</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2,423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251</w:t>
            </w:r>
          </w:p>
        </w:tc>
      </w:tr>
    </w:tbl>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If the average market price of Vishay common stock is less than the effective conversion prices of the convertible senior notes due 2025 and due 2030, respectively, no shares are included in the diluted earnings per share computation for the convertible senior notes due 2025 and due 2030. Upon Vishay exercising its existing right to legally amend the indenture governing the convertible senior notes due 2025, Vishay will satisfy its conversion obligations by paying $1 cash per $1 principal amount of converted notes and settle any additional amounts due in common stock. Pursuant to the indenture governing the convertible senior notes due 2030, Vishay will satisfy its conversion obligations by paying $1 cash per $1 principal amount of converted notes and settle any additional amounts due in cash and/or common stock.</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issuance of the convertible senior notes due 2030, the Company entered into capped call transactions (see Note 6), which were not included in the calculation of diluted earnings per share as their effect would have been anti-dilutive. The capped calls are intended to reduce the potential dilution to the Company's common stock in the event that at the time of conversion of the convertible senior notes due 2030 the Company's common stock price exceeds the conversion price of the convertible senior notes due 2030.</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17 – Additional Cash Flow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of businesses acquired, consist of the following</w:t>
      </w:r>
      <w:r>
        <w:rPr>
          <w:rFonts w:ascii="Times New Roman" w:cs="Times New Roman" w:eastAsia="Times New Roman" w:hAnsi="Times New Roman"/>
          <w:sz w:val="14"/>
          <w:szCs w:val="14"/>
          <w:i w:val="1"/>
          <w:iCs w:val="1"/>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0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60"/>
        </w:trPr>
        <w:tc>
          <w:tcPr>
            <w:tcW w:w="4040" w:type="dxa"/>
            <w:vAlign w:val="bottom"/>
          </w:tcPr>
          <w:p>
            <w:pPr>
              <w:spacing w:after="0"/>
              <w:rPr>
                <w:sz w:val="13"/>
                <w:szCs w:val="13"/>
                <w:color w:val="auto"/>
              </w:rPr>
            </w:pPr>
          </w:p>
        </w:tc>
        <w:tc>
          <w:tcPr>
            <w:tcW w:w="3560" w:type="dxa"/>
            <w:vAlign w:val="bottom"/>
            <w:gridSpan w:val="2"/>
          </w:tcPr>
          <w:p>
            <w:pPr>
              <w:spacing w:after="0"/>
              <w:rPr>
                <w:sz w:val="13"/>
                <w:szCs w:val="13"/>
                <w:color w:val="auto"/>
              </w:rPr>
            </w:pPr>
          </w:p>
        </w:tc>
        <w:tc>
          <w:tcPr>
            <w:tcW w:w="11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35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17,525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(3,717)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(26,696)</w:t>
            </w:r>
          </w:p>
        </w:tc>
      </w:tr>
      <w:tr>
        <w:trPr>
          <w:trHeight w:val="16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(78,496)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(58,758)</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(119,595)</w:t>
            </w:r>
          </w:p>
        </w:tc>
      </w:tr>
      <w:tr>
        <w:trPr>
          <w:trHeight w:val="1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45,611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(42,005)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(11,380)</w:t>
            </w:r>
          </w:p>
        </w:tc>
      </w:tr>
      <w:tr>
        <w:trPr>
          <w:trHeight w:val="16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22,806</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743</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(61,665)</w:t>
            </w:r>
          </w:p>
        </w:tc>
      </w:tr>
      <w:tr>
        <w:trPr>
          <w:trHeight w:val="1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(75,562)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(58,120)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77,223</w:t>
            </w:r>
          </w:p>
        </w:tc>
      </w:tr>
      <w:tr>
        <w:trPr>
          <w:trHeight w:val="20"/>
        </w:trPr>
        <w:tc>
          <w:tcPr>
            <w:tcW w:w="404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operating assets and liabilities</w:t>
            </w:r>
          </w:p>
        </w:tc>
        <w:tc>
          <w:tcPr>
            <w:tcW w:w="330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(68,116)</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(161,857)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(142,113)</w:t>
            </w:r>
          </w:p>
        </w:tc>
      </w:tr>
      <w:tr>
        <w:trPr>
          <w:trHeight w:val="20"/>
        </w:trPr>
        <w:tc>
          <w:tcPr>
            <w:tcW w:w="40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2"/>
        </w:trPr>
        <w:tc>
          <w:tcPr>
            <w:tcW w:w="4040" w:type="dxa"/>
            <w:vAlign w:val="bottom"/>
          </w:tcPr>
          <w:p>
            <w:pPr>
              <w:spacing w:after="0"/>
              <w:rPr>
                <w:sz w:val="24"/>
                <w:szCs w:val="24"/>
                <w:color w:val="auto"/>
              </w:rPr>
            </w:pPr>
          </w:p>
        </w:tc>
        <w:tc>
          <w:tcPr>
            <w:tcW w:w="3560" w:type="dxa"/>
            <w:vAlign w:val="bottom"/>
            <w:gridSpan w:val="2"/>
          </w:tcPr>
          <w:p>
            <w:pPr>
              <w:jc w:val="right"/>
              <w:ind w:right="1768"/>
              <w:spacing w:after="0"/>
              <w:rPr>
                <w:sz w:val="20"/>
                <w:szCs w:val="20"/>
                <w:color w:val="auto"/>
              </w:rPr>
            </w:pPr>
            <w:r>
              <w:rPr>
                <w:rFonts w:ascii="Times New Roman" w:cs="Times New Roman" w:eastAsia="Times New Roman" w:hAnsi="Times New Roman"/>
                <w:sz w:val="12"/>
                <w:szCs w:val="12"/>
                <w:color w:val="auto"/>
              </w:rPr>
              <w:t>F-51</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404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18 – Fair Value Measurements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financial assets and liabilities carried at fair value measured on a recurring basis: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0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77"/>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16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rPr>
              <w:t>Assets:</w:t>
            </w: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7"/>
        </w:trPr>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 held in rabbi trusts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53,508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24,518</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28,990</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Available for sale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4,043</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Non - U.S. Defined Benefit Pension Plan Assets:</w:t>
            </w: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Equity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4,174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4,174</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0" w:type="dxa"/>
            <w:vAlign w:val="bottom"/>
            <w:shd w:val="clear" w:color="auto" w:fill="CCEEFF"/>
          </w:tcPr>
          <w:p>
            <w:pPr>
              <w:spacing w:after="0"/>
              <w:rPr>
                <w:sz w:val="14"/>
                <w:szCs w:val="14"/>
                <w:color w:val="auto"/>
              </w:rPr>
            </w:pPr>
          </w:p>
        </w:tc>
        <w:tc>
          <w:tcPr>
            <w:tcW w:w="59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Fixed income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23,991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23,991</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0" w:type="dxa"/>
            <w:vAlign w:val="bottom"/>
          </w:tcPr>
          <w:p>
            <w:pPr>
              <w:spacing w:after="0"/>
              <w:rPr>
                <w:sz w:val="14"/>
                <w:szCs w:val="14"/>
                <w:color w:val="auto"/>
              </w:rPr>
            </w:pPr>
          </w:p>
        </w:tc>
        <w:tc>
          <w:tcPr>
            <w:tcW w:w="59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Cash</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36,303</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122,019</w:t>
            </w: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93,029</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28,990</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600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Liability:</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27"/>
        </w:trPr>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62"/>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Acquisitions contingent consideration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3,801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3,801</w:t>
            </w:r>
          </w:p>
        </w:tc>
      </w:tr>
      <w:tr>
        <w:trPr>
          <w:trHeight w:val="144"/>
        </w:trPr>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1160" w:type="dxa"/>
            <w:vAlign w:val="bottom"/>
            <w:tcBorders>
              <w:bottom w:val="single" w:sz="8" w:color="auto"/>
            </w:tcBorders>
            <w:gridSpan w:val="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600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Assets:</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27"/>
        </w:trPr>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62"/>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Assets held in rabbi trusts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50,378</w:t>
            </w:r>
          </w:p>
        </w:tc>
        <w:tc>
          <w:tcPr>
            <w:tcW w:w="240" w:type="dxa"/>
            <w:vAlign w:val="bottom"/>
          </w:tcPr>
          <w:p>
            <w:pPr>
              <w:spacing w:after="0"/>
              <w:rPr>
                <w:sz w:val="14"/>
                <w:szCs w:val="1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24,343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26,035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 for sale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4,115</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Non - U.S. Defined Benefit Pension Plan Assets:</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59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3,925</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0" w:type="dxa"/>
            <w:vAlign w:val="bottom"/>
          </w:tcPr>
          <w:p>
            <w:pPr>
              <w:spacing w:after="0"/>
              <w:rPr>
                <w:sz w:val="14"/>
                <w:szCs w:val="14"/>
                <w:color w:val="auto"/>
              </w:rPr>
            </w:pPr>
          </w:p>
        </w:tc>
        <w:tc>
          <w:tcPr>
            <w:tcW w:w="59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Fixed income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21,232</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0" w:type="dxa"/>
            <w:vAlign w:val="bottom"/>
            <w:shd w:val="clear" w:color="auto" w:fill="CCEEFF"/>
          </w:tcPr>
          <w:p>
            <w:pPr>
              <w:spacing w:after="0"/>
              <w:rPr>
                <w:sz w:val="14"/>
                <w:szCs w:val="14"/>
                <w:color w:val="auto"/>
              </w:rPr>
            </w:pPr>
          </w:p>
        </w:tc>
        <w:tc>
          <w:tcPr>
            <w:tcW w:w="59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38,130</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117,780</w:t>
            </w:r>
          </w:p>
        </w:tc>
        <w:tc>
          <w:tcPr>
            <w:tcW w:w="24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91,745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26,035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0" w:type="dxa"/>
            <w:vAlign w:val="bottom"/>
            <w:tcBorders>
              <w:bottom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color w:val="auto"/>
                <w:w w:val="95"/>
              </w:rPr>
              <w:t>Liability:</w:t>
            </w:r>
          </w:p>
        </w:tc>
        <w:tc>
          <w:tcPr>
            <w:tcW w:w="54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0" w:type="dxa"/>
            <w:vAlign w:val="bottom"/>
            <w:shd w:val="clear" w:color="auto" w:fill="CCEEFF"/>
          </w:tcPr>
          <w:p>
            <w:pPr>
              <w:spacing w:after="0"/>
              <w:rPr>
                <w:sz w:val="14"/>
                <w:szCs w:val="14"/>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MaxPower acquisition contingent consideration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938</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changes in the classification of any financial instruments within the fair value hierarchy in the periods presented.</w:t>
      </w:r>
    </w:p>
    <w:p>
      <w:pPr>
        <w:spacing w:after="0" w:line="1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During the third and fourth fiscal quarters of 2024, the Company performed goodwill impairment tests in which the fair value of the Company's reporting units was calculated. See additional information on the impairment tests in Note 19.</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maintains non-qualified trusts, referred to as “rabbi” trusts, to fund payments under deferred compensation and non-qualified pension plans. Rabbi trust assets consist primarily of marketable securities, classified as available-for-sale, and company-owned life insurance assets. The marketable securities held in the rabbi trusts are valued using quoted market prices on the last business day of the year. The company-owned life insurance assets are valued in consultation with the Company’s insurance brokers using the value of underlying assets of the insurance contracts. The fair value measurement of the marketable securities held in the rabbi trust is considered a Level 1 measurement and the measurement of the company-owned life insurance assets is considered a Level 2 measurement within the fair value hierarchy.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maintains defined benefit retirement plans in certain of its non-U.S. subsidiaries. The assets of the plans are measured at fair value.</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Equity securities held by the non-U.S. defined benefit retirement plans consist of equity securities that are valued based on quoted market prices on the last business day of the year. The fair value measurement of the equity securities is considered a Level 1 measurement within the fair value hierarchy.</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Fixed income securities held by the non-U.S. defined benefit retirement plans consist of government bonds in the Philippines and India and corporate notes that are valued based on quoted market prices on the last business day of the year. The fair value measurement of the fixed income securities is considered a Level 1 measurement within the fair value hierarchy.</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Cash held by the non-U.S. defined benefit retirement plans consists of demand deposits on account in various financial institutions to fund current benefit payments. The carrying amount of the cash approximates its fair value.</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holds investments in debt securities that are intended to fund a portion of its pension and other postretirement benefit obligations outside of the U.S. The investments are valued based on quoted market prices on the last business day of the year. The fair value measurement of the investments is considered a Level 1 measurement within the fair value hierarchy.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18 – Fair Value Measurements (continued)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may be required to make certain contingent consideration payments to related to acquisitions. The fair value of these contingent payments is determined by estimating the net present value of the expected cash flows based on the probability of expected payments. The fair value measurement of the contingent consideration payments is considered a Level 3 measurement within the fair value hierarchy.</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fair value of the long-term debt, excluding the deferred financing costs, at December 31, 2024 and 2023 is approximately $850,600 and $836,200, respectively, compared to its carrying value, excluding the deferred financing costs, of $927,911 and $845,102, respectively. The Company estimates the fair value of its long-term debt using a combination of quoted market prices for similar financing arrangements and expected future payments discounted at risk-adjusted rates, which are considered level 2 inputs.</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At December 31, 2024 and 2023, the Company’s short-term investments were comprised of time deposits with financial institutions that have maturities that exceed 90 days from the date of acquisition; however they all mature within one year from the respective balance sheet dates. The Company's short-term investments are accounted for as held-to-maturity debt instruments, at amortized cost, which approximates their fair value. The investments are funded with excess cash not expected to be needed for operations prior to maturity; therefore, the Company believes it has the intent and ability to hold the short-term investments until maturity. At each reporting date, the Company performs an evaluation to determine if any unrealized losses are other-than-temporary. No other-than-temporary impairments have been recognized on these securities, and there are no unrecognized holding gains or losses for these securities during the periods presented. There have been no transfers to or from the held-to-maturity classification. All decreases in the account balance are due to returns of principal at the securities’ maturity dates. Interest on the securities is recognized as interest income when earned.</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At December 31, 2024 and 2023, the Company’s cash and cash equivalents were comprised of demand deposits, time deposits with maturities of three months or less when purchased, and money market funds. The Company estimates the fair value of its cash, cash equivalents, and short-term investments using level 2 inputs. Based on the current interest rates for similar investments with comparable credit risk and time to maturity, the fair value of the Company's cash, cash equivalents, and held-to-maturity short-term investments approximate the carrying amounts reported in the accompanying consolidated balance sheets.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Company’s financial instruments also include accounts receivable and accounts payable. The carrying amounts for these financial instruments reported in the accompanying consolidated balance sheets approximate their fair values.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19 – Goodwill and Other Intangible Assets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When required to perform quantitative goodwill impairment assessments, the Company estimates the fair value of each of its business segments, which represent its reporting units for goodwill impairment testing purposes, using mostly Level 3 inputs. Assessments are performed using a weighting of the income and market approaches to determine fair value. The Company used a discounted cash flow (“DCF”) method, using unobservable inputs, as its income approach. The Company used comparable company market multiples for its market approach. The resulting estimates of fair value from the income approach and the market approach are then weighted equally in determining the overall estimated fair value of each reporting unit.</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determination of the fair value of the reporting units and the allocation of that value to individual assets and liabilities within those reporting units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(components of earnings before interest, taxes, depreciation, amortization, "EBITDA"); and capital expenditures.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Due to the inherent uncertainty involved in making these estimates, actual financial results could differ from those estimates. Changes in assumptions concerning future financial results or other underlying assumptions could have a significant impact on results of the assessment.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During the third fiscal quarter of 2024, the Company identified the decrease in its share price in combination with the increase in the book value of its assets as a result of its acquisition and capital spending activities as potential indicators of impairment requiring an interim goodwill impairment test. The interim goodwill impairment test was performed as of the end of the third fiscal quarter of 2024. Based on the evaluation, the estimated fair value of each reporting unit was determined to exceed its carrying value, although the MOSFETs reporting unit’s fair value exceeded its carrying value by less than 10%. No goodwill impairment charges were recognized in the third fiscal quarter of 2024 as a result of the goodwill impairment test.</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During the fourth fiscal quarter of 2024, the Company identified the further decrease in its share price in combination with the further increase in the book value of its assets as a result of its capital spending activities as the primary potential indicators of impairment requiring an interim goodwill impairment test of its MOSFETs reporting unit. An interim goodwill impairment test was performed as of December 31, 2024. As a result of the assessment, it was determined that the fair value of the MOSFETs reporting unit was less than its carrying value. Accordingly, a goodwill impairment charge of $66,487 was recorded. The goodwill impairment charge is noncash in nature and does not affect the Company’s liquidity, cash flows from operating activities, or debt covenants, and will not have a material impact on future operations. Prior to completing the interim assessment of goodwill for impairment, the Company performed a recoverability test of certain depreciable and amortizable long-lived assets within the MOSFETs reporting unit. There was no impairment identified for the depreciable and amortizable long-lived assets tested for recoverability.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in the carrying amount of goodwill by segment for the years ended December 31, 2024 and 2023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Optoelectronic</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3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MOSFETs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Resistors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Inductors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Capacitors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96,849</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41,883</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25,815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201,432</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Centerline acquisition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2,213</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2,213</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price allocation adjustment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(2,639)</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(2,639)</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Exchange rate effects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410</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410</w:t>
            </w:r>
          </w:p>
        </w:tc>
      </w:tr>
      <w:tr>
        <w:trPr>
          <w:trHeight w:val="16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34,246</w:t>
            </w: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96,849</w:t>
            </w:r>
          </w:p>
        </w:tc>
        <w:tc>
          <w:tcPr>
            <w:tcW w:w="2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44,506</w:t>
            </w: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25,815</w:t>
            </w: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201,416</w:t>
            </w:r>
          </w:p>
        </w:tc>
        <w:tc>
          <w:tcPr>
            <w:tcW w:w="120" w:type="dxa"/>
            <w:vAlign w:val="bottom"/>
            <w:shd w:val="clear" w:color="auto" w:fill="CCEEFF"/>
          </w:tcPr>
          <w:p>
            <w:pPr>
              <w:spacing w:after="0"/>
              <w:rPr>
                <w:sz w:val="13"/>
                <w:szCs w:val="13"/>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Newport acquisition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32,241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32,241</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Ametherm acquisition</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11,685</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11,685</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Birkelbach acquisition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777</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777</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(66,487)</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(66,487)</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Exchange rate effects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(627)</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(627)</w:t>
            </w:r>
          </w:p>
        </w:tc>
      </w:tr>
      <w:tr>
        <w:trPr>
          <w:trHeight w:val="20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96,849</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55,564</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25,815</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179,005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588"/>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F-54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3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19 – Goodwill and Other Intangible Assets (continued)</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9"/>
        </w:trPr>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intangible assets are as follows:</w:t>
            </w: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36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36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30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 subject to amortization: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Patents and acquired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23,160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26,053</w:t>
            </w:r>
          </w:p>
        </w:tc>
      </w:tr>
      <w:tr>
        <w:trPr>
          <w:trHeight w:val="162"/>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Capitalized software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62,158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62,360</w:t>
            </w:r>
          </w:p>
        </w:tc>
      </w:tr>
      <w:tr>
        <w:trPr>
          <w:trHeight w:val="162"/>
        </w:trPr>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103,813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83,895</w:t>
            </w:r>
          </w:p>
        </w:tc>
      </w:tr>
      <w:tr>
        <w:trPr>
          <w:trHeight w:val="162"/>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Tradenames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23,216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22,300</w:t>
            </w:r>
          </w:p>
        </w:tc>
      </w:tr>
      <w:tr>
        <w:trPr>
          <w:trHeight w:val="162"/>
        </w:trPr>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400</w:t>
            </w:r>
          </w:p>
        </w:tc>
      </w:tr>
      <w:tr>
        <w:trPr>
          <w:trHeight w:val="20"/>
        </w:trPr>
        <w:tc>
          <w:tcPr>
            <w:tcW w:w="366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36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212,347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195,008</w:t>
            </w:r>
          </w:p>
        </w:tc>
      </w:tr>
      <w:tr>
        <w:trPr>
          <w:trHeight w:val="160"/>
        </w:trPr>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Patents and acquired technology</w:t>
            </w: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(7,316)</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(14,931)</w:t>
            </w:r>
          </w:p>
        </w:tc>
      </w:tr>
      <w:tr>
        <w:trPr>
          <w:trHeight w:val="162"/>
        </w:trPr>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Capitalized software</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(55,476)</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(54,203)</w:t>
            </w:r>
          </w:p>
        </w:tc>
      </w:tr>
      <w:tr>
        <w:trPr>
          <w:trHeight w:val="162"/>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(45,053)</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(38,664)</w:t>
            </w:r>
          </w:p>
        </w:tc>
      </w:tr>
      <w:tr>
        <w:trPr>
          <w:trHeight w:val="162"/>
        </w:trPr>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Tradenames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(17,279)</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(14,610)</w:t>
            </w:r>
          </w:p>
        </w:tc>
      </w:tr>
      <w:tr>
        <w:trPr>
          <w:trHeight w:val="162"/>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(267)</w:t>
            </w:r>
          </w:p>
        </w:tc>
      </w:tr>
      <w:tr>
        <w:trPr>
          <w:trHeight w:val="160"/>
        </w:trPr>
        <w:tc>
          <w:tcPr>
            <w:tcW w:w="3660" w:type="dxa"/>
            <w:vAlign w:val="bottom"/>
            <w:tcBorders>
              <w:bottom w:val="single" w:sz="8" w:color="CCEEFF"/>
            </w:tcBorders>
            <w:shd w:val="clear" w:color="auto" w:fill="CCEEFF"/>
          </w:tcPr>
          <w:p>
            <w:pPr>
              <w:spacing w:after="0"/>
              <w:rPr>
                <w:sz w:val="13"/>
                <w:szCs w:val="13"/>
                <w:color w:val="auto"/>
              </w:rPr>
            </w:pPr>
          </w:p>
        </w:tc>
        <w:tc>
          <w:tcPr>
            <w:tcW w:w="5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(125,124)</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(122,675)</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8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intangible assets subject to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87,223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72,333</w:t>
            </w:r>
          </w:p>
        </w:tc>
      </w:tr>
      <w:tr>
        <w:trPr>
          <w:trHeight w:val="20"/>
        </w:trPr>
        <w:tc>
          <w:tcPr>
            <w:tcW w:w="36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(excluding capitalized software) was $11,684, $9,916, and $8,127, for the years ended December 31, 2024, 2023, and 2022,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annual amortization expense of intangible assets on the balance sheet at December 31, 2024 for each of the next five years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00" w:type="dxa"/>
            <w:vAlign w:val="bottom"/>
            <w:shd w:val="clear" w:color="auto" w:fill="CCEEFF"/>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2025</w:t>
            </w:r>
          </w:p>
        </w:tc>
        <w:tc>
          <w:tcPr>
            <w:tcW w:w="75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13,074</w:t>
            </w:r>
          </w:p>
        </w:tc>
      </w:tr>
      <w:tr>
        <w:trPr>
          <w:trHeight w:val="162"/>
        </w:trPr>
        <w:tc>
          <w:tcPr>
            <w:tcW w:w="2900" w:type="dxa"/>
            <w:vAlign w:val="bottom"/>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2026</w:t>
            </w:r>
          </w:p>
        </w:tc>
        <w:tc>
          <w:tcPr>
            <w:tcW w:w="75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12,267</w:t>
            </w:r>
          </w:p>
        </w:tc>
      </w:tr>
      <w:tr>
        <w:trPr>
          <w:trHeight w:val="162"/>
        </w:trPr>
        <w:tc>
          <w:tcPr>
            <w:tcW w:w="2900" w:type="dxa"/>
            <w:vAlign w:val="bottom"/>
            <w:shd w:val="clear" w:color="auto" w:fill="CCEEFF"/>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2027</w:t>
            </w:r>
          </w:p>
        </w:tc>
        <w:tc>
          <w:tcPr>
            <w:tcW w:w="75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9,319</w:t>
            </w:r>
          </w:p>
        </w:tc>
      </w:tr>
      <w:tr>
        <w:trPr>
          <w:trHeight w:val="162"/>
        </w:trPr>
        <w:tc>
          <w:tcPr>
            <w:tcW w:w="2900" w:type="dxa"/>
            <w:vAlign w:val="bottom"/>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2028</w:t>
            </w:r>
          </w:p>
        </w:tc>
        <w:tc>
          <w:tcPr>
            <w:tcW w:w="75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8,346</w:t>
            </w:r>
          </w:p>
        </w:tc>
      </w:tr>
      <w:tr>
        <w:trPr>
          <w:trHeight w:val="162"/>
        </w:trPr>
        <w:tc>
          <w:tcPr>
            <w:tcW w:w="2900" w:type="dxa"/>
            <w:vAlign w:val="bottom"/>
            <w:shd w:val="clear" w:color="auto" w:fill="CCEEFF"/>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2029</w:t>
            </w:r>
          </w:p>
        </w:tc>
        <w:tc>
          <w:tcPr>
            <w:tcW w:w="75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8,121</w:t>
            </w:r>
          </w:p>
        </w:tc>
      </w:tr>
      <w:tr>
        <w:trPr>
          <w:trHeight w:val="594"/>
        </w:trPr>
        <w:tc>
          <w:tcPr>
            <w:tcW w:w="2900" w:type="dxa"/>
            <w:vAlign w:val="bottom"/>
          </w:tcPr>
          <w:p>
            <w:pPr>
              <w:spacing w:after="0"/>
              <w:rPr>
                <w:sz w:val="24"/>
                <w:szCs w:val="24"/>
                <w:color w:val="auto"/>
              </w:rPr>
            </w:pPr>
          </w:p>
        </w:tc>
        <w:tc>
          <w:tcPr>
            <w:tcW w:w="7560" w:type="dxa"/>
            <w:vAlign w:val="bottom"/>
          </w:tcPr>
          <w:p>
            <w:pPr>
              <w:jc w:val="right"/>
              <w:ind w:right="4634"/>
              <w:spacing w:after="0"/>
              <w:rPr>
                <w:sz w:val="20"/>
                <w:szCs w:val="20"/>
                <w:color w:val="auto"/>
              </w:rPr>
            </w:pPr>
            <w:r>
              <w:rPr>
                <w:rFonts w:ascii="Times New Roman" w:cs="Times New Roman" w:eastAsia="Times New Roman" w:hAnsi="Times New Roman"/>
                <w:sz w:val="12"/>
                <w:szCs w:val="12"/>
                <w:color w:val="auto"/>
              </w:rPr>
              <w:t>F-55</w:t>
            </w:r>
          </w:p>
        </w:tc>
        <w:tc>
          <w:tcPr>
            <w:tcW w:w="840" w:type="dxa"/>
            <w:vAlign w:val="bottom"/>
          </w:tcPr>
          <w:p>
            <w:pPr>
              <w:spacing w:after="0"/>
              <w:rPr>
                <w:sz w:val="24"/>
                <w:szCs w:val="24"/>
                <w:color w:val="auto"/>
              </w:rPr>
            </w:pPr>
          </w:p>
        </w:tc>
      </w:tr>
      <w:tr>
        <w:trPr>
          <w:trHeight w:val="36"/>
        </w:trPr>
        <w:tc>
          <w:tcPr>
            <w:tcW w:w="2900" w:type="dxa"/>
            <w:vAlign w:val="bottom"/>
            <w:tcBorders>
              <w:bottom w:val="single" w:sz="8" w:color="auto"/>
            </w:tcBorders>
          </w:tcPr>
          <w:p>
            <w:pPr>
              <w:spacing w:after="0"/>
              <w:rPr>
                <w:sz w:val="3"/>
                <w:szCs w:val="3"/>
                <w:color w:val="auto"/>
              </w:rPr>
            </w:pPr>
          </w:p>
        </w:tc>
        <w:tc>
          <w:tcPr>
            <w:tcW w:w="7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20 – Related Party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Vishay Precision Group, Inc.</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July 6, 2010, Vishay completed the spin-off of its measurements and foil resistors businesses into an independent, publicly-traded company, Vishay Precision Group, Inc. Vishay’s common stockholders received 1 share of VPG common stock for every 14 shares of Vishay common stock they held on the record date, June 25, 2010, and Vishay’s Class B common stockholders received 1 share of VPG Class B common stock for every 14 shares of Vishay Class B common stock they held on the record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the spin-off, VPG is an independent company and Vishay retains no ownership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Relationship with VPG after Spin-off</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Following the spin-off, VPG and Vishay operate separately, each as independent public companies. Vishay has no ownership interest in VPG. However, Ruta Zandman solely or on a shared basis with Marc Zandman and Ziv Shoshani, all of whom are members of Vishay's Board of Directors, control a large portion of the voting power of both Vishay and VPG. Marc Zandman, Vishay’s Executive Chairman of the Board and an executive officer of Vishay, serves on the Board of Directors of VPG. Ziv Shoshani, CEO of VPG, serves as a director of Vishay. Additionally, Timothy V. Talbert, a member of Vishay’s Board of Directors is also a member of the Board of Directors of VPG.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completion of the spin-off, Vishay and its subsidiaries entered into several agreements with VPG and its subsidiaries that govern the relationship of the parties following the spin-off. Among the agreements entered into with VPG and its subsidiaries were a transition services agreement, several lease agreements, and supply agreements. None of the agreements have had nor are expected to have a material impact on Vishay’s financial position, results of operations, or liquidity. Some of these agreements have expired and have not been renewed.</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Vishay also entered into a trademark license agreement with VPG pursuant to which Vishay granted VPG the license to use certain trademarks, service marks, logos, trade names, entity names, and domain names which include the term “Vishay.” The license granted VPG the limited, exclusive, royalty-free right and license to use certain marks and names incorporating the term “Vishay” in connection with the design, development, manufacture, marketing, provision and performance of certain VPG products that do not compete with any products within Vishay’s product range as constituted immediately following the separation and certain services provided in connection with the products. The license cannot be terminated except as a result of willful misconduct or liquidation bankruptcy of VPG.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F-56</w:t>
      </w:r>
    </w:p>
    <w:p>
      <w:pPr>
        <w:sectPr>
          <w:pgSz w:w="11900" w:h="16838" w:orient="portrait"/>
          <w:cols w:equalWidth="0" w:num="1">
            <w:col w:w="11300"/>
          </w:cols>
          <w:pgMar w:left="300" w:top="121" w:right="2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Note: Names of Subsidiaries are indented under name of Parent. Subsidiaries are wholly owned unless otherwise noted. (Directors' or other shares required by statute in foreign jurisdictions and totaling less than 1% of equity are omitted.)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Americas, Inc.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6"/>
                <w:szCs w:val="16"/>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Americas do Brasil, LTDA</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Brazil</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Insurance, DAC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Ireland</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France Holdings SAS</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France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MCB Industrie S.A.S.</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France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Dale Electronics,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Ametherm, Inc.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Electronica Dale de Mexico S.A. de C.V.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Mexico</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HiRel Systems LLC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HiRel Systems International,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Sprague, Inc.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9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Sprague Electric of Canada Limited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Canada</w:t>
            </w:r>
          </w:p>
        </w:tc>
        <w:tc>
          <w:tcPr>
            <w:tcW w:w="2080" w:type="dxa"/>
            <w:vAlign w:val="bottom"/>
          </w:tcPr>
          <w:p>
            <w:pPr>
              <w:spacing w:after="0"/>
              <w:rPr>
                <w:sz w:val="17"/>
                <w:szCs w:val="17"/>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Siliconix incorporated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U.K. Holding Company Limited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United Kingdom</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Vishay Newport Limited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United Kingdom</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Siliconix,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Siliconix Semiconductor, LLC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Siliconix Electronic Co.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Vishay Siliconix Ireland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Ireland</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Shanghai Simconix Electronic Company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China</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Siliconix Technology C.V.</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(a)</w:t>
            </w: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Semiconductor Italiana S.p.A.</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Italy</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Siliconix Singapore Pte.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Vishay Semiconductor India Pvt.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India</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MaxPower Semiconductor, Inc.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MaxPower Semiconductor U.K.,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United Kingdom</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GSI, Inc.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GSI Holdings,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General Semiconductor, L.P.</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Cayman Islands</w:t>
            </w:r>
          </w:p>
        </w:tc>
        <w:tc>
          <w:tcPr>
            <w:tcW w:w="20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(b)</w:t>
            </w: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General Semiconductor,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Vishay General Semiconductor of Taiwan,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Vishay Capella Microsystems (Taiwan) Limited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Vishay Asia GS Investments Pte.,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ECOMAL Nederland BV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BCcomponents Holdings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BCcomponents B.V.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Resistors Belgium BV</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Belgium</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Components India Pvt.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India</w:t>
            </w:r>
          </w:p>
        </w:tc>
        <w:tc>
          <w:tcPr>
            <w:tcW w:w="20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(c)</w:t>
            </w: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BCcomponents Hong Kong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Hong Kong</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Vishay Hong Kong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Hong Kong</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Intertechnology Asia Pte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Japan Co.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Japan</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Korea Co.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Korea</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(Taiwan)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jc w:val="right"/>
              <w:ind w:right="2988"/>
              <w:spacing w:after="0"/>
              <w:rPr>
                <w:sz w:val="20"/>
                <w:szCs w:val="20"/>
                <w:color w:val="auto"/>
              </w:rPr>
            </w:pPr>
            <w:r>
              <w:rPr>
                <w:rFonts w:ascii="Times New Roman" w:cs="Times New Roman" w:eastAsia="Times New Roman" w:hAnsi="Times New Roman"/>
                <w:sz w:val="14"/>
                <w:szCs w:val="14"/>
                <w:color w:val="auto"/>
              </w:rPr>
              <w:t>Vishay Malaysia Sdn. Bhd.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Malaysia</w:t>
            </w:r>
          </w:p>
        </w:tc>
        <w:tc>
          <w:tcPr>
            <w:tcW w:w="2080" w:type="dxa"/>
            <w:vAlign w:val="bottom"/>
            <w:shd w:val="clear" w:color="auto" w:fill="CCEEFF"/>
          </w:tcPr>
          <w:p>
            <w:pPr>
              <w:spacing w:after="0"/>
              <w:rPr>
                <w:sz w:val="14"/>
                <w:szCs w:val="14"/>
                <w:color w:val="auto"/>
              </w:rPr>
            </w:pPr>
          </w:p>
        </w:tc>
      </w:tr>
      <w:tr>
        <w:trPr>
          <w:trHeight w:val="188"/>
        </w:trPr>
        <w:tc>
          <w:tcPr>
            <w:tcW w:w="4740" w:type="dxa"/>
            <w:vAlign w:val="bottom"/>
          </w:tcPr>
          <w:p>
            <w:pPr>
              <w:jc w:val="right"/>
              <w:ind w:right="3008"/>
              <w:spacing w:after="0"/>
              <w:rPr>
                <w:sz w:val="20"/>
                <w:szCs w:val="20"/>
                <w:color w:val="auto"/>
              </w:rPr>
            </w:pPr>
            <w:r>
              <w:rPr>
                <w:rFonts w:ascii="Times New Roman" w:cs="Times New Roman" w:eastAsia="Times New Roman" w:hAnsi="Times New Roman"/>
                <w:sz w:val="14"/>
                <w:szCs w:val="14"/>
                <w:color w:val="auto"/>
              </w:rPr>
              <w:t>Vishay Dutch Holdings B.V.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tcPr>
          <w:p>
            <w:pPr>
              <w:spacing w:after="0"/>
              <w:rPr>
                <w:sz w:val="16"/>
                <w:szCs w:val="16"/>
                <w:color w:val="auto"/>
              </w:rPr>
            </w:pPr>
          </w:p>
        </w:tc>
      </w:tr>
      <w:tr>
        <w:trPr>
          <w:trHeight w:val="397"/>
        </w:trPr>
        <w:tc>
          <w:tcPr>
            <w:tcW w:w="47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0" w:right="299" w:bottom="1440"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Subsidiaries of the Registrant (continued)</w:t>
            </w:r>
          </w:p>
        </w:tc>
        <w:tc>
          <w:tcPr>
            <w:tcW w:w="392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316"/>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Vishay Israel Limited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Israel</w:t>
            </w:r>
          </w:p>
        </w:tc>
        <w:tc>
          <w:tcPr>
            <w:tcW w:w="2520" w:type="dxa"/>
            <w:vAlign w:val="bottom"/>
          </w:tcPr>
          <w:p>
            <w:pPr>
              <w:spacing w:after="0"/>
              <w:rPr>
                <w:sz w:val="24"/>
                <w:szCs w:val="24"/>
                <w:color w:val="auto"/>
              </w:rPr>
            </w:pPr>
          </w:p>
        </w:tc>
      </w:tr>
      <w:tr>
        <w:trPr>
          <w:trHeight w:val="16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Z.T.R. Electronics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Israel</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ECOMAL Israel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Israel</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Vishay Polytech Co.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Japan</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Vishay La Laguna S. DE R.L. DE C.V.</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Mexico</w:t>
            </w:r>
          </w:p>
        </w:tc>
        <w:tc>
          <w:tcPr>
            <w:tcW w:w="25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(d)</w:t>
            </w:r>
          </w:p>
        </w:tc>
      </w:tr>
      <w:tr>
        <w:trPr>
          <w:trHeight w:val="16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Europe GmbH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(e)</w:t>
            </w: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Europe Sales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BCcomponents Austria GmbH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Austria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Vishay Semiconductor Ges.mbH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Austria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Electronic GmbH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Birkelbach Kondensatortechnik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Siliconix Itzehoe GmbH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Electronica Portugal Lda.</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Portugal</w:t>
            </w:r>
          </w:p>
        </w:tc>
        <w:tc>
          <w:tcPr>
            <w:tcW w:w="25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(f)</w:t>
            </w: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Europe GmbH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Sweden AB</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Sweden</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Schweiz A.G.</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Switzerland</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Austria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Austria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Components, S.A.</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Spain</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Iberia S.A.U.</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Spain</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Belgium BV</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Belgium</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Ceska republika S.r.O.</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Czech Republic</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Denmark A/S</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Denmark</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Finland OY</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Finland</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France S.A.S.</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France</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UK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United Kingdom</w:t>
            </w:r>
          </w:p>
        </w:tc>
        <w:tc>
          <w:tcPr>
            <w:tcW w:w="2520" w:type="dxa"/>
            <w:vAlign w:val="bottom"/>
          </w:tcPr>
          <w:p>
            <w:pPr>
              <w:spacing w:after="0"/>
              <w:rPr>
                <w:sz w:val="14"/>
                <w:szCs w:val="14"/>
                <w:color w:val="auto"/>
              </w:rPr>
            </w:pPr>
          </w:p>
        </w:tc>
      </w:tr>
      <w:tr>
        <w:trPr>
          <w:trHeight w:val="18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Vishay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United Kingdom</w:t>
            </w:r>
          </w:p>
        </w:tc>
        <w:tc>
          <w:tcPr>
            <w:tcW w:w="2520" w:type="dxa"/>
            <w:vAlign w:val="bottom"/>
            <w:shd w:val="clear" w:color="auto" w:fill="CCEEFF"/>
          </w:tcPr>
          <w:p>
            <w:pPr>
              <w:spacing w:after="0"/>
              <w:rPr>
                <w:sz w:val="15"/>
                <w:szCs w:val="15"/>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Italy s.r.l.</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Italy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ECOMAL Elektronske Komponente d.o.o.</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Slovenia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Electronic SPOL SRO</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Czech Republic</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Ecomal Poland Sp. Z.o.o.</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Poland</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Ecomal Hungary Kft.</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Hungary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S.A.</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France</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(g)</w:t>
            </w:r>
          </w:p>
        </w:tc>
      </w:tr>
      <w:tr>
        <w:trPr>
          <w:trHeight w:val="162"/>
        </w:trPr>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Ultronix, Inc.</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Delaware</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Semiconductor GmbH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Vishay (Phils.) Inc.</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Philippines</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Siliconix Philippines, Inc.</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Philippines</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Vishay Asia Semiconductor Investments Pte.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Singapore</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Vishay Singapore Pte.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Singapore</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(h)</w:t>
            </w:r>
          </w:p>
        </w:tc>
      </w:tr>
      <w:tr>
        <w:trPr>
          <w:trHeight w:val="162"/>
        </w:trPr>
        <w:tc>
          <w:tcPr>
            <w:tcW w:w="4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Vishay Semiconductor Shanghai Co.,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Vishay General Semiconductor (China) Co.,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Vishay Micro-Electronics (Xi'an) Co.,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Vishay China Co.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Vishay HiRel Systems Zhuhai Electronics Co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Vishay Components (Huizhou) Co.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(i)</w:t>
            </w: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Hungary Elektronikai KFT</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Hungary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Semiconductor Malaysia Sdn Bhd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Malaysia</w:t>
            </w:r>
          </w:p>
        </w:tc>
        <w:tc>
          <w:tcPr>
            <w:tcW w:w="2520" w:type="dxa"/>
            <w:vAlign w:val="bottom"/>
            <w:shd w:val="clear" w:color="auto" w:fill="CCEEFF"/>
          </w:tcPr>
          <w:p>
            <w:pPr>
              <w:spacing w:after="0"/>
              <w:rPr>
                <w:sz w:val="14"/>
                <w:szCs w:val="14"/>
                <w:color w:val="auto"/>
              </w:rPr>
            </w:pPr>
          </w:p>
        </w:tc>
      </w:tr>
      <w:tr>
        <w:trPr>
          <w:trHeight w:val="188"/>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Vishay BCcomponents Beyschlag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spacing w:after="0"/>
              <w:rPr>
                <w:sz w:val="16"/>
                <w:szCs w:val="16"/>
                <w:color w:val="auto"/>
              </w:rPr>
            </w:pPr>
          </w:p>
        </w:tc>
      </w:tr>
      <w:tr>
        <w:trPr>
          <w:trHeight w:val="397"/>
        </w:trPr>
        <w:tc>
          <w:tcPr>
            <w:tcW w:w="4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0" w:right="299" w:bottom="1440" w:gutter="0" w:footer="0" w:header="0"/>
        </w:sectPr>
      </w:pPr>
    </w:p>
    <w:bookmarkStart w:id="128" w:name="page129"/>
    <w:bookmarkEnd w:id="1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ind w:left="8"/>
        <w:spacing w:after="0"/>
        <w:rPr>
          <w:sz w:val="20"/>
          <w:szCs w:val="20"/>
          <w:color w:val="auto"/>
        </w:rPr>
      </w:pPr>
      <w:r>
        <w:rPr>
          <w:rFonts w:ascii="Times New Roman" w:cs="Times New Roman" w:eastAsia="Times New Roman" w:hAnsi="Times New Roman"/>
          <w:sz w:val="14"/>
          <w:szCs w:val="14"/>
          <w:b w:val="1"/>
          <w:bCs w:val="1"/>
          <w:color w:val="auto"/>
        </w:rPr>
        <w:t>Subsidiaries of the Registrant (continued)</w:t>
      </w:r>
    </w:p>
    <w:p>
      <w:pPr>
        <w:spacing w:after="0" w:line="165" w:lineRule="exact"/>
        <w:rPr>
          <w:sz w:val="20"/>
          <w:szCs w:val="20"/>
          <w:color w:val="auto"/>
        </w:rPr>
      </w:pPr>
    </w:p>
    <w:p>
      <w:pPr>
        <w:ind w:left="568" w:right="20" w:hanging="568"/>
        <w:spacing w:after="0" w:line="253"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Siliconix Technology C.V. is 100%; 89% is owned by its wholly owned subsidiary Siliconix Incorporated, 10% is owned by its indirectly wholly owned subsidiary Siliconix Semiconductor, LLC, and 1% is owned by its indirect wholly owned subsidiary Vishay Siliconix LLC.</w:t>
      </w:r>
    </w:p>
    <w:p>
      <w:pPr>
        <w:ind w:left="568" w:right="20" w:hanging="568"/>
        <w:spacing w:after="0" w:line="241" w:lineRule="auto"/>
        <w:tabs>
          <w:tab w:leader="none" w:pos="20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General Semiconductor, L.P. is 100%; 1% is owned by its indirectly wholly owned subsidiary Vishay GSI Holdings, LLC, and 99% is owned by its wholly owned subsidiary Vishay GSI, Inc.</w:t>
      </w:r>
    </w:p>
    <w:p>
      <w:pPr>
        <w:ind w:left="568" w:right="20" w:hanging="568"/>
        <w:spacing w:after="0" w:line="241"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Components India Pvt. Ltd. is 100%; 69% is owned directly and 31% is owned by its indirectly wholly owned subsidiary Vishay BCcomponents B.V.</w:t>
      </w:r>
    </w:p>
    <w:p>
      <w:pPr>
        <w:ind w:left="568" w:hanging="568"/>
        <w:spacing w:after="0" w:line="241" w:lineRule="auto"/>
        <w:tabs>
          <w:tab w:leader="none" w:pos="20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La Laguna S. DE R.L. DE C.V. is 100%; 99% is owned by its wholly owned subsidiary Vishay Israel Limited and 1% is owned by its indirectly wholly owned subsidiary Z.T.R. Electronics Ltd.</w:t>
      </w:r>
    </w:p>
    <w:p>
      <w:pPr>
        <w:ind w:left="568" w:right="20" w:hanging="568"/>
        <w:spacing w:after="0" w:line="241"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Europe GmbH is 100%; over 99.9% is owned directly or indirectly by its wholly owned subsidiary Vishay Israel Limited and its affiliates; and less than 0.1% is owned directly.</w:t>
      </w:r>
    </w:p>
    <w:p>
      <w:pPr>
        <w:ind w:left="568" w:hanging="568"/>
        <w:spacing w:after="0" w:line="241" w:lineRule="auto"/>
        <w:tabs>
          <w:tab w:leader="none" w:pos="18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Electronica Portugal Lda. is 100%; 70% is owned by its indirectly wholly owned subsidiary Vishay Europe GmbH and 30% is owned by its indirectly wholly owned subsidiary Vishay Electronic GmbH.</w:t>
      </w:r>
    </w:p>
    <w:p>
      <w:pPr>
        <w:ind w:left="208" w:hanging="208"/>
        <w:spacing w:after="0"/>
        <w:tabs>
          <w:tab w:leader="none" w:pos="20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S.A. is 99.9%.</w:t>
      </w:r>
    </w:p>
    <w:p>
      <w:pPr>
        <w:spacing w:after="0" w:line="1" w:lineRule="exact"/>
        <w:rPr>
          <w:rFonts w:ascii="Times New Roman" w:cs="Times New Roman" w:eastAsia="Times New Roman" w:hAnsi="Times New Roman"/>
          <w:sz w:val="14"/>
          <w:szCs w:val="14"/>
          <w:color w:val="auto"/>
        </w:rPr>
      </w:pPr>
    </w:p>
    <w:p>
      <w:pPr>
        <w:ind w:left="568" w:hanging="568"/>
        <w:spacing w:after="0" w:line="241" w:lineRule="auto"/>
        <w:tabs>
          <w:tab w:leader="none" w:pos="20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Singapore Pte. Ltd. is 100%, 48% is owned by its indirectly wholly owned subsidiary Vishay Asia Semiconductor Investments Pte. Ltd., 26% is owned by its indirectly wholly owned subsidiary Vishay Asia Semiconductor GS Investments Pte. Ltd., and 26% is owned by its indirectly wholly owned subsidiary Siliconix Technology C.V.</w:t>
      </w:r>
    </w:p>
    <w:p>
      <w:pPr>
        <w:spacing w:after="0" w:line="1" w:lineRule="exact"/>
        <w:rPr>
          <w:rFonts w:ascii="Times New Roman" w:cs="Times New Roman" w:eastAsia="Times New Roman" w:hAnsi="Times New Roman"/>
          <w:sz w:val="14"/>
          <w:szCs w:val="14"/>
          <w:color w:val="auto"/>
        </w:rPr>
      </w:pPr>
    </w:p>
    <w:p>
      <w:pPr>
        <w:ind w:left="568" w:hanging="568"/>
        <w:spacing w:after="0" w:line="258" w:lineRule="auto"/>
        <w:tabs>
          <w:tab w:leader="none" w:pos="17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Components (Huizhou) Co. Ltd. is 100%; 36% is owned by its indirectly wholly owned subsidiary Vishay Hong Kong Ltd. and 64% is owned by its indirectly wholly owned subsidiary Vishay China Co. Ltd.</w:t>
      </w:r>
    </w:p>
    <w:p>
      <w:pPr>
        <w:sectPr>
          <w:pgSz w:w="11900" w:h="16838" w:orient="portrait"/>
          <w:cols w:equalWidth="0" w:num="1">
            <w:col w:w="11308"/>
          </w:cols>
          <w:pgMar w:left="292" w:top="120" w:right="2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63"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333-144466) pertaining to the 2007 Stock Incentive Program of Vishay Intertechnology, Inc.,</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333-178895) pertaining to the Deferred Compensation Plan of Vishay Intertechnology, Inc.,</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333-196143) pertaining to the 2007 Stock Incentive Program of Vishay Intertechnology, Inc., and</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333-272140) pertaining to the 2023 Long-Term Incentive Plan of Vishay Intertechnology, Inc.</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of our reports dated February 14, 2025, with respect to the consolidated financial statements of Vishay Intertechnology, Inc. and the effectiveness of internal control over financial reporting of Vishay Intertechnology, Inc. included in this Annual Report (Form 10-K) of Vishay Intertechnology, Inc. for the year ended December 31, 2024.</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Ernst &amp; Young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14, 2025</w:t>
      </w:r>
    </w:p>
    <w:p>
      <w:pPr>
        <w:sectPr>
          <w:pgSz w:w="11900" w:h="16838" w:orient="portrait"/>
          <w:cols w:equalWidth="0" w:num="1">
            <w:col w:w="11300"/>
          </w:cols>
          <w:pgMar w:left="300" w:top="120" w:right="2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Joel Smejkal, certify that:</w:t>
      </w:r>
    </w:p>
    <w:p>
      <w:pPr>
        <w:spacing w:after="0" w:line="147" w:lineRule="exact"/>
        <w:rPr>
          <w:sz w:val="20"/>
          <w:szCs w:val="20"/>
          <w:color w:val="auto"/>
        </w:rPr>
      </w:pPr>
    </w:p>
    <w:p>
      <w:pPr>
        <w:ind w:left="460" w:hanging="234"/>
        <w:spacing w:after="0"/>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Vishay Intertechnology, Inc.;</w:t>
      </w:r>
    </w:p>
    <w:p>
      <w:pPr>
        <w:spacing w:after="0" w:line="163"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63"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5"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7"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4"/>
          <w:szCs w:val="14"/>
          <w:color w:val="auto"/>
        </w:rPr>
      </w:pPr>
    </w:p>
    <w:p>
      <w:pPr>
        <w:ind w:left="1060" w:hanging="204"/>
        <w:spacing w:after="0"/>
        <w:tabs>
          <w:tab w:leader="none" w:pos="10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14,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Joel Smejkal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Joel Smejkal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300"/>
          </w:cols>
          <w:pgMar w:left="300" w:top="120" w:right="2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E. McConnell, certify that:</w:t>
      </w:r>
    </w:p>
    <w:p>
      <w:pPr>
        <w:spacing w:after="0" w:line="147" w:lineRule="exact"/>
        <w:rPr>
          <w:sz w:val="20"/>
          <w:szCs w:val="20"/>
          <w:color w:val="auto"/>
        </w:rPr>
      </w:pPr>
    </w:p>
    <w:p>
      <w:pPr>
        <w:ind w:left="460" w:hanging="234"/>
        <w:spacing w:after="0"/>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Vishay Intertechnology, Inc.;</w:t>
      </w:r>
    </w:p>
    <w:p>
      <w:pPr>
        <w:spacing w:after="0" w:line="163"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63"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5"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7"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8"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4"/>
          <w:szCs w:val="14"/>
          <w:color w:val="auto"/>
        </w:rPr>
      </w:pPr>
    </w:p>
    <w:p>
      <w:pPr>
        <w:ind w:left="1060" w:hanging="204"/>
        <w:spacing w:after="0"/>
        <w:tabs>
          <w:tab w:leader="none" w:pos="10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14,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David E. McConnell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David E. McConnell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300"/>
          </w:cols>
          <w:pgMar w:left="300" w:top="120" w:right="2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47" w:lineRule="exact"/>
        <w:rPr>
          <w:sz w:val="20"/>
          <w:szCs w:val="20"/>
          <w:color w:val="auto"/>
        </w:rPr>
      </w:pPr>
    </w:p>
    <w:p>
      <w:pPr>
        <w:jc w:val="both"/>
        <w:ind w:left="8" w:right="20"/>
        <w:spacing w:after="0" w:line="261" w:lineRule="auto"/>
        <w:rPr>
          <w:sz w:val="20"/>
          <w:szCs w:val="20"/>
          <w:color w:val="auto"/>
        </w:rPr>
      </w:pPr>
      <w:r>
        <w:rPr>
          <w:rFonts w:ascii="Times New Roman" w:cs="Times New Roman" w:eastAsia="Times New Roman" w:hAnsi="Times New Roman"/>
          <w:sz w:val="14"/>
          <w:szCs w:val="14"/>
          <w:color w:val="auto"/>
        </w:rPr>
        <w:t>In connection with the Annual Report of Vishay Intertechnology, Inc. (the "Company") on Form 10-K for the year ended December 31, 2024 as filed with the Securities and Exchange Commission on the date hereof (the "Report"), I, Joel Smejkal, Chief Executive Officer of the Company, certify, pursuant to 18 U.S.C. section 1350, as adopted pursuant to section 906 of the Sarbanes-Oxley Act of 2002, that:</w:t>
      </w:r>
    </w:p>
    <w:p>
      <w:pPr>
        <w:spacing w:after="0" w:line="123" w:lineRule="exact"/>
        <w:rPr>
          <w:sz w:val="20"/>
          <w:szCs w:val="20"/>
          <w:color w:val="auto"/>
        </w:rPr>
      </w:pPr>
    </w:p>
    <w:p>
      <w:pPr>
        <w:ind w:left="368" w:hanging="368"/>
        <w:spacing w:after="0"/>
        <w:tabs>
          <w:tab w:leader="none" w:pos="36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63" w:lineRule="exact"/>
        <w:rPr>
          <w:rFonts w:ascii="Times New Roman" w:cs="Times New Roman" w:eastAsia="Times New Roman" w:hAnsi="Times New Roman"/>
          <w:sz w:val="14"/>
          <w:szCs w:val="14"/>
          <w:color w:val="auto"/>
        </w:rPr>
      </w:pPr>
    </w:p>
    <w:p>
      <w:pPr>
        <w:ind w:left="368" w:hanging="368"/>
        <w:spacing w:after="0"/>
        <w:tabs>
          <w:tab w:leader="none" w:pos="36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u w:val="single" w:color="auto"/>
          <w:color w:val="auto"/>
        </w:rPr>
        <w:t>/s/ Joel Smejkal</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Joel Smejkal</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February 14, 2025</w:t>
      </w:r>
    </w:p>
    <w:p>
      <w:pPr>
        <w:sectPr>
          <w:pgSz w:w="11900" w:h="16838" w:orient="portrait"/>
          <w:cols w:equalWidth="0" w:num="1">
            <w:col w:w="11308"/>
          </w:cols>
          <w:pgMar w:left="292" w:top="120" w:right="2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4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In connection with the Annual Report of Vishay Intertechnology, Inc. (the "Company") on Form 10-K for the year ended December 31, 2024 as filed with the Securities and Exchange Commission on the date hereof (the "Report"), I, David E. McConnell, Chief Financial Officer of the Company, certify, pursuant to 18 U.S.C. section 1350, as adopted pursuant to section 906 of the Sarbanes-Oxley Act of 2002, that:</w:t>
      </w:r>
    </w:p>
    <w:p>
      <w:pPr>
        <w:spacing w:after="0" w:line="123" w:lineRule="exact"/>
        <w:rPr>
          <w:sz w:val="20"/>
          <w:szCs w:val="20"/>
          <w:color w:val="auto"/>
        </w:rPr>
      </w:pPr>
    </w:p>
    <w:p>
      <w:pPr>
        <w:ind w:left="368" w:hanging="368"/>
        <w:spacing w:after="0"/>
        <w:tabs>
          <w:tab w:leader="none" w:pos="36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63" w:lineRule="exact"/>
        <w:rPr>
          <w:rFonts w:ascii="Times New Roman" w:cs="Times New Roman" w:eastAsia="Times New Roman" w:hAnsi="Times New Roman"/>
          <w:sz w:val="14"/>
          <w:szCs w:val="14"/>
          <w:color w:val="auto"/>
        </w:rPr>
      </w:pPr>
    </w:p>
    <w:p>
      <w:pPr>
        <w:ind w:left="368" w:hanging="368"/>
        <w:spacing w:after="0"/>
        <w:tabs>
          <w:tab w:leader="none" w:pos="36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u w:val="single" w:color="auto"/>
          <w:color w:val="auto"/>
        </w:rPr>
        <w:t>/s/ David E. McConnell</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David E. McConnell</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February 14, 2025</w:t>
      </w:r>
    </w:p>
    <w:p>
      <w:pPr>
        <w:sectPr>
          <w:pgSz w:w="11900" w:h="16838" w:orient="portrait"/>
          <w:cols w:equalWidth="0" w:num="1">
            <w:col w:w="11308"/>
          </w:cols>
          <w:pgMar w:left="292" w:top="120" w:right="2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4"/>
          <w:szCs w:val="14"/>
          <w:b w:val="1"/>
          <w:bCs w:val="1"/>
          <w:color w:val="auto"/>
        </w:rPr>
        <w:t>Exhibit 10.41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 LANCASTER AVENUE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MALVERN, PENNSYLVANIA 19355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13, 2025</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Roy Shoshani</w:t>
      </w:r>
    </w:p>
    <w:p>
      <w:pPr>
        <w:spacing w:after="0" w:line="1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Re:</w:t>
      </w:r>
      <w:r>
        <w:rPr>
          <w:sz w:val="20"/>
          <w:szCs w:val="20"/>
          <w:color w:val="auto"/>
        </w:rPr>
        <w:tab/>
      </w:r>
      <w:r>
        <w:rPr>
          <w:rFonts w:ascii="Times New Roman" w:cs="Times New Roman" w:eastAsia="Times New Roman" w:hAnsi="Times New Roman"/>
          <w:sz w:val="14"/>
          <w:szCs w:val="14"/>
          <w:b w:val="1"/>
          <w:bCs w:val="1"/>
          <w:u w:val="single" w:color="auto"/>
          <w:color w:val="auto"/>
        </w:rPr>
        <w:t>Amendment #2 to Employment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Roy:</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Reference is made to that certain Employment Agreement between you, Siliconix incorporated and Vishay Intertechnology, Inc. dated July 14, 2022 and amended on February 27, 2024 (the “</w:t>
      </w:r>
      <w:r>
        <w:rPr>
          <w:rFonts w:ascii="Times New Roman" w:cs="Times New Roman" w:eastAsia="Times New Roman" w:hAnsi="Times New Roman"/>
          <w:sz w:val="14"/>
          <w:szCs w:val="14"/>
          <w:b w:val="1"/>
          <w:bCs w:val="1"/>
          <w:color w:val="auto"/>
        </w:rPr>
        <w:t>Employment Agreement</w:t>
      </w:r>
      <w:r>
        <w:rPr>
          <w:rFonts w:ascii="Times New Roman" w:cs="Times New Roman" w:eastAsia="Times New Roman" w:hAnsi="Times New Roman"/>
          <w:sz w:val="14"/>
          <w:szCs w:val="14"/>
          <w:color w:val="auto"/>
        </w:rPr>
        <w:t>”). The Employment Agreement is further amended as described below:</w:t>
      </w:r>
    </w:p>
    <w:p>
      <w:pPr>
        <w:spacing w:after="0" w:line="108" w:lineRule="exact"/>
        <w:rPr>
          <w:sz w:val="20"/>
          <w:szCs w:val="20"/>
          <w:color w:val="auto"/>
        </w:rPr>
      </w:pPr>
    </w:p>
    <w:p>
      <w:pPr>
        <w:ind w:left="960" w:hanging="536"/>
        <w:spacing w:after="0"/>
        <w:tabs>
          <w:tab w:leader="none" w:pos="9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January 13, 2025, section 3.1 of the Employment Agreement is replaced in its entirety with the following:</w:t>
      </w:r>
    </w:p>
    <w:p>
      <w:pPr>
        <w:spacing w:after="0" w:line="163" w:lineRule="exact"/>
        <w:rPr>
          <w:sz w:val="20"/>
          <w:szCs w:val="20"/>
          <w:color w:val="auto"/>
        </w:rPr>
      </w:pPr>
    </w:p>
    <w:p>
      <w:pPr>
        <w:jc w:val="both"/>
        <w:ind w:left="420" w:right="440"/>
        <w:spacing w:after="0" w:line="261" w:lineRule="auto"/>
        <w:rPr>
          <w:sz w:val="20"/>
          <w:szCs w:val="20"/>
          <w:color w:val="auto"/>
        </w:rPr>
      </w:pPr>
      <w:r>
        <w:rPr>
          <w:rFonts w:ascii="Times New Roman" w:cs="Times New Roman" w:eastAsia="Times New Roman" w:hAnsi="Times New Roman"/>
          <w:sz w:val="14"/>
          <w:szCs w:val="14"/>
          <w:u w:val="single" w:color="auto"/>
          <w:color w:val="auto"/>
        </w:rPr>
        <w:t>Position</w:t>
      </w:r>
      <w:r>
        <w:rPr>
          <w:rFonts w:ascii="Times New Roman" w:cs="Times New Roman" w:eastAsia="Times New Roman" w:hAnsi="Times New Roman"/>
          <w:sz w:val="14"/>
          <w:szCs w:val="14"/>
          <w:color w:val="auto"/>
        </w:rPr>
        <w:t>. During the Term, Executive shall serve as Vishay’s Executive Vice President -- Chief Operating Officer of Semiconductors and Chief Technical Officer, or any other position(s) agreed by the parties, reporting directly to the Chief Executive Officer of Vishay or such other individual as may be designated by the Chief Executive Officer of Vishay from time to time.</w:t>
      </w:r>
    </w:p>
    <w:p>
      <w:pPr>
        <w:spacing w:after="0" w:line="123" w:lineRule="exact"/>
        <w:rPr>
          <w:sz w:val="20"/>
          <w:szCs w:val="20"/>
          <w:color w:val="auto"/>
        </w:rPr>
      </w:pPr>
    </w:p>
    <w:p>
      <w:pPr>
        <w:ind w:left="960" w:hanging="53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January 1, 2025, the first sentence of Section 4.1 of the Employment Agreement is replaced in its entirety with the following:</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 Vishay Siliconix shall pay Executive base salary at a rate of not less than $690,800 per year (as adjusted from time to time,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You expressly consent to this amendment to the Employment Agreement and therefore agree that the changes in your employment terms described herein, including the associated changes in your duties and responsibilities, do not create a basis for you to resign from employment with Good Reason (as defined in the Employment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set forth herein, the terms and conditions of the Employment Agreement remain unchanged.</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letter agreement may be executed in multiple counterparts, each of which shall be deemed an original agreement and all of which shall constitute one and the same agreement. The counterparts of this letter agreement may be executed and delivered by facsimile or other electronic signature (including portable document format) by any of the parties and the receiving parties may rely on the receipt of such document so executed and delivered electronically or by facsimile as if the original had been received.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confirm your agreement with the foregoing, please countersign this letter agreement in the space below provided.</w:t>
      </w:r>
    </w:p>
    <w:p>
      <w:pPr>
        <w:spacing w:after="0" w:line="16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SILICONIX INCORPORATED</w:t>
      </w:r>
    </w:p>
    <w:p>
      <w:pPr>
        <w:spacing w:after="0" w:line="21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 Peter Henrici</w:t>
            </w:r>
          </w:p>
        </w:tc>
        <w:tc>
          <w:tcPr>
            <w:tcW w:w="0" w:type="dxa"/>
            <w:vAlign w:val="bottom"/>
          </w:tcPr>
          <w:p>
            <w:pPr>
              <w:spacing w:after="0"/>
              <w:rPr>
                <w:sz w:val="1"/>
                <w:szCs w:val="1"/>
                <w:color w:val="auto"/>
              </w:rPr>
            </w:pPr>
          </w:p>
        </w:tc>
      </w:tr>
      <w:tr>
        <w:trPr>
          <w:trHeight w:val="151"/>
        </w:trPr>
        <w:tc>
          <w:tcPr>
            <w:tcW w:w="4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By:</w:t>
            </w:r>
          </w:p>
        </w:tc>
        <w:tc>
          <w:tcPr>
            <w:tcW w:w="640" w:type="dxa"/>
            <w:vAlign w:val="bottom"/>
          </w:tcPr>
          <w:p>
            <w:pPr>
              <w:ind w:left="220"/>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940" w:type="dxa"/>
            <w:vAlign w:val="bottom"/>
            <w:tcBorders>
              <w:top w:val="single" w:sz="8" w:color="auto"/>
            </w:tcBorders>
            <w:gridSpan w:val="2"/>
          </w:tcPr>
          <w:p>
            <w:pPr>
              <w:spacing w:after="0" w:line="151" w:lineRule="exact"/>
              <w:rPr>
                <w:sz w:val="20"/>
                <w:szCs w:val="20"/>
                <w:color w:val="auto"/>
              </w:rPr>
            </w:pPr>
            <w:r>
              <w:rPr>
                <w:rFonts w:ascii="Times New Roman" w:cs="Times New Roman" w:eastAsia="Times New Roman" w:hAnsi="Times New Roman"/>
                <w:sz w:val="14"/>
                <w:szCs w:val="14"/>
                <w:color w:val="auto"/>
              </w:rPr>
              <w:t>Peter Henrici</w:t>
            </w: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Title:</w:t>
            </w:r>
          </w:p>
        </w:tc>
        <w:tc>
          <w:tcPr>
            <w:tcW w:w="21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Secretary</w:t>
            </w:r>
          </w:p>
        </w:tc>
        <w:tc>
          <w:tcPr>
            <w:tcW w:w="0" w:type="dxa"/>
            <w:vAlign w:val="bottom"/>
          </w:tcPr>
          <w:p>
            <w:pPr>
              <w:spacing w:after="0"/>
              <w:rPr>
                <w:sz w:val="1"/>
                <w:szCs w:val="1"/>
                <w:color w:val="auto"/>
              </w:rPr>
            </w:pPr>
          </w:p>
        </w:tc>
      </w:tr>
      <w:tr>
        <w:trPr>
          <w:trHeight w:val="540"/>
        </w:trPr>
        <w:tc>
          <w:tcPr>
            <w:tcW w:w="32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tc>
        <w:tc>
          <w:tcPr>
            <w:tcW w:w="0" w:type="dxa"/>
            <w:vAlign w:val="bottom"/>
          </w:tcPr>
          <w:p>
            <w:pPr>
              <w:spacing w:after="0"/>
              <w:rPr>
                <w:sz w:val="1"/>
                <w:szCs w:val="1"/>
                <w:color w:val="auto"/>
              </w:rPr>
            </w:pPr>
          </w:p>
        </w:tc>
      </w:tr>
      <w:tr>
        <w:trPr>
          <w:trHeight w:val="343"/>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By:</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Name:</w:t>
            </w:r>
          </w:p>
        </w:tc>
        <w:tc>
          <w:tcPr>
            <w:tcW w:w="320" w:type="dxa"/>
            <w:vAlign w:val="bottom"/>
          </w:tcPr>
          <w:p>
            <w:pPr>
              <w:spacing w:after="0"/>
              <w:rPr>
                <w:sz w:val="24"/>
                <w:szCs w:val="24"/>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Peter Henrici</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Peter Henrici</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Title:</w:t>
            </w:r>
          </w:p>
        </w:tc>
        <w:tc>
          <w:tcPr>
            <w:tcW w:w="320" w:type="dxa"/>
            <w:vAlign w:val="bottom"/>
          </w:tcPr>
          <w:p>
            <w:pPr>
              <w:spacing w:after="0"/>
              <w:rPr>
                <w:sz w:val="17"/>
                <w:szCs w:val="17"/>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EVP – Corporate Development</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Accepted and agreed: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Roy Shoshani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ROY SHOSHANI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January 13, 2025</w:t>
      </w:r>
    </w:p>
    <w:p>
      <w:pPr>
        <w:sectPr>
          <w:pgSz w:w="11900" w:h="16838" w:orient="portrait"/>
          <w:cols w:equalWidth="0" w:num="1">
            <w:col w:w="11300"/>
          </w:cols>
          <w:pgMar w:left="300" w:top="120" w:right="2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00" w:lineRule="exact"/>
        <w:rPr>
          <w:sz w:val="20"/>
          <w:szCs w:val="20"/>
          <w:color w:val="auto"/>
        </w:rPr>
      </w:pPr>
    </w:p>
    <w:p>
      <w:pPr>
        <w:spacing w:after="0" w:line="33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TRADING COMPLIANCE PROGRAM</w:t>
      </w:r>
    </w:p>
    <w:p>
      <w:pPr>
        <w:spacing w:after="0" w:line="14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Contents</w:t>
      </w:r>
    </w:p>
    <w:p>
      <w:pPr>
        <w:spacing w:after="0" w:line="200" w:lineRule="exact"/>
        <w:rPr>
          <w:sz w:val="20"/>
          <w:szCs w:val="20"/>
          <w:color w:val="auto"/>
        </w:rPr>
      </w:pPr>
    </w:p>
    <w:p>
      <w:pPr>
        <w:spacing w:after="0" w:line="253" w:lineRule="exact"/>
        <w:rPr>
          <w:sz w:val="20"/>
          <w:szCs w:val="20"/>
          <w:color w:val="auto"/>
        </w:rPr>
      </w:pPr>
    </w:p>
    <w:p>
      <w:pPr>
        <w:ind w:left="440" w:hanging="433"/>
        <w:spacing w:after="0"/>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Letter to Directors, Officers and Employees</w:t>
      </w:r>
    </w:p>
    <w:p>
      <w:pPr>
        <w:spacing w:after="0" w:line="280" w:lineRule="exact"/>
        <w:rPr>
          <w:rFonts w:ascii="Times New Roman" w:cs="Times New Roman" w:eastAsia="Times New Roman" w:hAnsi="Times New Roman"/>
          <w:sz w:val="14"/>
          <w:szCs w:val="14"/>
          <w:color w:val="auto"/>
        </w:rPr>
      </w:pPr>
    </w:p>
    <w:p>
      <w:pPr>
        <w:ind w:left="440" w:hanging="433"/>
        <w:spacing w:after="0"/>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Trading Policy</w:t>
      </w:r>
    </w:p>
    <w:p>
      <w:pPr>
        <w:spacing w:after="0" w:line="289" w:lineRule="exact"/>
        <w:rPr>
          <w:rFonts w:ascii="Times New Roman" w:cs="Times New Roman" w:eastAsia="Times New Roman" w:hAnsi="Times New Roman"/>
          <w:sz w:val="14"/>
          <w:szCs w:val="14"/>
          <w:color w:val="auto"/>
        </w:rPr>
      </w:pPr>
    </w:p>
    <w:p>
      <w:pPr>
        <w:ind w:left="440" w:hanging="433"/>
        <w:spacing w:after="0"/>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Addendum to Securities Trading Policy Regarding Pre-Clearance and Blackout Procedures</w:t>
      </w:r>
    </w:p>
    <w:p>
      <w:pPr>
        <w:spacing w:after="0" w:line="298" w:lineRule="exact"/>
        <w:rPr>
          <w:rFonts w:ascii="Times New Roman" w:cs="Times New Roman" w:eastAsia="Times New Roman" w:hAnsi="Times New Roman"/>
          <w:sz w:val="14"/>
          <w:szCs w:val="14"/>
          <w:color w:val="auto"/>
        </w:rPr>
      </w:pPr>
    </w:p>
    <w:p>
      <w:pPr>
        <w:ind w:left="440" w:hanging="433"/>
        <w:spacing w:after="0"/>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of Event-Specific Blackout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823595</wp:posOffset>
            </wp:positionV>
            <wp:extent cx="717804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00"/>
          </w:cols>
          <w:pgMar w:left="500" w:top="120" w:right="299" w:bottom="1440" w:gutter="0" w:footer="0" w:header="0"/>
        </w:sectPr>
      </w:pPr>
    </w:p>
    <w:bookmarkStart w:id="137" w:name="page138"/>
    <w:bookmarkEnd w:id="137"/>
    <w:p>
      <w:pPr>
        <w:jc w:val="both"/>
        <w:ind w:left="20" w:right="40" w:firstLine="859"/>
        <w:spacing w:after="0" w:line="247" w:lineRule="auto"/>
        <w:rPr>
          <w:sz w:val="20"/>
          <w:szCs w:val="20"/>
          <w:color w:val="auto"/>
        </w:rPr>
      </w:pPr>
      <w:r>
        <w:rPr>
          <w:rFonts w:ascii="Times New Roman" w:cs="Times New Roman" w:eastAsia="Times New Roman" w:hAnsi="Times New Roman"/>
          <w:sz w:val="14"/>
          <w:szCs w:val="14"/>
          <w:color w:val="auto"/>
        </w:rPr>
        <w:t>This Securities Trading Policy (this "Policy") has been prepared to focus the Company and its personnel on areas of ethical risk regarding trading stock of the Company and any affiliates, provide guidance to personnel to help them recognize and deal with such ethical issues, and to help foster a culture of honesty and accountability. This Policy applies to every director, officer, employee and consultant of Vishay and its subsidiaries throughout the world. While this Policy details conduct expected of each of us and standards to follow in our trading of Company securities, no code or policy can spell out the appropriate conduct and ethical behavior for every situation with which we are confronted. In the final analysis, we have to rely on our own common sense, good judgment and conscience. Therefore, this Policy is intended to provide guidelines to assist us in our work for Vishay. An Addendum (the "Addendum") to this Policy contains additional provisions applicable to directors, executive officers subject to Section 16 of the Securities Exchange Act of 1934, as amended, and other employees or consultants in groups such as finance, legal, investor relations, sales, operations, human resources and R&amp;D, who are more likely to be exposed to nonpublic information on a recurring basis.</w:t>
      </w:r>
    </w:p>
    <w:p>
      <w:pPr>
        <w:spacing w:after="0" w:line="298" w:lineRule="exact"/>
        <w:rPr>
          <w:sz w:val="20"/>
          <w:szCs w:val="20"/>
          <w:color w:val="auto"/>
        </w:rPr>
      </w:pPr>
    </w:p>
    <w:p>
      <w:pPr>
        <w:ind w:left="20" w:firstLine="859"/>
        <w:spacing w:after="0" w:line="282" w:lineRule="auto"/>
        <w:rPr>
          <w:sz w:val="20"/>
          <w:szCs w:val="20"/>
          <w:color w:val="auto"/>
        </w:rPr>
      </w:pPr>
      <w:r>
        <w:rPr>
          <w:rFonts w:ascii="Times New Roman" w:cs="Times New Roman" w:eastAsia="Times New Roman" w:hAnsi="Times New Roman"/>
          <w:sz w:val="14"/>
          <w:szCs w:val="14"/>
          <w:color w:val="auto"/>
        </w:rPr>
        <w:t>At Vishay, we expect everyone to conduct themselves according to the highest standards of business ethics and integrity. Adherence to these principles is important in order to maintain public trust and confidence in our Company. Even an action that merely appears to be unethical can reflect negatively on us and harm our community standing.</w:t>
      </w:r>
    </w:p>
    <w:p>
      <w:pPr>
        <w:spacing w:after="0" w:line="117" w:lineRule="exact"/>
        <w:rPr>
          <w:sz w:val="20"/>
          <w:szCs w:val="20"/>
          <w:color w:val="auto"/>
        </w:rPr>
      </w:pPr>
    </w:p>
    <w:p>
      <w:pPr>
        <w:ind w:left="20" w:firstLine="864"/>
        <w:spacing w:after="0" w:line="282" w:lineRule="auto"/>
        <w:rPr>
          <w:sz w:val="20"/>
          <w:szCs w:val="20"/>
          <w:color w:val="auto"/>
        </w:rPr>
      </w:pPr>
      <w:r>
        <w:rPr>
          <w:rFonts w:ascii="Times New Roman" w:cs="Times New Roman" w:eastAsia="Times New Roman" w:hAnsi="Times New Roman"/>
          <w:sz w:val="14"/>
          <w:szCs w:val="14"/>
          <w:color w:val="auto"/>
        </w:rPr>
        <w:t>Vishay takes great pride in the high level of integrity and business ethics displayed by our directors, officers, and employees. We hope and expect that the publication of this Policy will help foster and maintain this tradition.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23,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Sincerely,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Marc Zandman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 Zandman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401955</wp:posOffset>
            </wp:positionV>
            <wp:extent cx="717804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460" w:top="283" w:right="55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3345815</wp:posOffset>
            </wp:positionH>
            <wp:positionV relativeFrom="page">
              <wp:posOffset>397510</wp:posOffset>
            </wp:positionV>
            <wp:extent cx="857250" cy="6286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857250" cy="62865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Amended May 23, 2023</w:t>
      </w: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TRADING POLICY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Intertechnology, Inc.’s board of directors has adopted this Securities Trading Policy (this “Policy”) for our directors, officers, employees and consultants with respect to the trading of the Company’s securities, as well as the securities of publicly traded companies with whom we have a business relationship.</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securities trading by company personnel in violation of applicable securities laws. Failure to comply with this Policy may also require the Company to impose sanctions on offending parties.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Policy is designed to prevent insider trading or allegations of insider trading, and to protect the Company’s and your reputation for integrity and ethical conduct. It is your obligation to understand and comply with this Policy. As the ultimate responsibility for adhering to this Policy and avoiding improper trading rests with you, it is in everyone’s best interest to closely adhere to this Policy. Should you have any questions regarding this Policy, please contact the Legal Department or the Human Resources Department.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Scope of Policy</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Persons Covered. </w:t>
      </w:r>
      <w:r>
        <w:rPr>
          <w:rFonts w:ascii="Times New Roman" w:cs="Times New Roman" w:eastAsia="Times New Roman" w:hAnsi="Times New Roman"/>
          <w:sz w:val="14"/>
          <w:szCs w:val="14"/>
          <w:color w:val="auto"/>
        </w:rPr>
        <w:t>As a director, officer, employee or consultant of the Company or its subsidiaries, this Policy applies to you. The same restrictions that apply to you apply to your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You are responsible for making sure that the purchase or sale of any security covered by this Policy by any such person complies with this Policy. This Policy further applies to any entities that you influence or control, including any corporations, partnerships or trusts (collectively referred to as “</w:t>
      </w:r>
      <w:r>
        <w:rPr>
          <w:rFonts w:ascii="Times New Roman" w:cs="Times New Roman" w:eastAsia="Times New Roman" w:hAnsi="Times New Roman"/>
          <w:sz w:val="14"/>
          <w:szCs w:val="14"/>
          <w:u w:val="single" w:color="auto"/>
          <w:color w:val="auto"/>
        </w:rPr>
        <w:t>Controlled Entities</w:t>
      </w:r>
      <w:r>
        <w:rPr>
          <w:rFonts w:ascii="Times New Roman" w:cs="Times New Roman" w:eastAsia="Times New Roman" w:hAnsi="Times New Roman"/>
          <w:sz w:val="14"/>
          <w:szCs w:val="14"/>
          <w:color w:val="auto"/>
        </w:rPr>
        <w:t>”), and transactions by these Controlled Entities should be treated for the purposes of this Policy and applicable securities laws as if they were for your own account.</w:t>
      </w:r>
    </w:p>
    <w:p>
      <w:pPr>
        <w:spacing w:after="0" w:line="1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Companies Covered. </w:t>
      </w:r>
      <w:r>
        <w:rPr>
          <w:rFonts w:ascii="Times New Roman" w:cs="Times New Roman" w:eastAsia="Times New Roman" w:hAnsi="Times New Roman"/>
          <w:sz w:val="14"/>
          <w:szCs w:val="14"/>
          <w:color w:val="auto"/>
        </w:rPr>
        <w:t>The prohibition on securities trading in this Policy is not limited to trading in the Company’s securities. It includes trading in the securities of any affiliates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It also includes other firms, such as customers or suppliers of the Company and those with which the Company may be negotiating significant transactions, such as an acquisition, investment or sale. Information that is not material to the Company may nevertheless be material to one of its affiliates or other firms.</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Transactions Covered. </w:t>
      </w:r>
      <w:r>
        <w:rPr>
          <w:rFonts w:ascii="Times New Roman" w:cs="Times New Roman" w:eastAsia="Times New Roman" w:hAnsi="Times New Roman"/>
          <w:sz w:val="14"/>
          <w:szCs w:val="14"/>
          <w:color w:val="auto"/>
        </w:rPr>
        <w:t>Trading includes purchases and sales of stock, derivative securities such as put and call options and convertible debentures, warrants, or preferred stock,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(debentures, bonds and notes), as well as derivative securities not issued by the Company such as exchange-traded put or call options or swaps relating to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271145</wp:posOffset>
            </wp:positionV>
            <wp:extent cx="704088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6">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0580"/>
          </w:cols>
          <w:pgMar w:left="720" w:top="1440" w:right="5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color w:val="auto"/>
        </w:rPr>
        <w:t>Transactions Not Covered by the Policy</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Restricted Stock Units. </w:t>
      </w:r>
      <w:r>
        <w:rPr>
          <w:rFonts w:ascii="Times New Roman" w:cs="Times New Roman" w:eastAsia="Times New Roman" w:hAnsi="Times New Roman"/>
          <w:sz w:val="14"/>
          <w:szCs w:val="14"/>
          <w:color w:val="auto"/>
        </w:rPr>
        <w:t>This Policy does not apply to the vesting of restricted stock units, or the exercise of a tax withholding right pursuant to which you elect to have the Company withhold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stock to satisfy tax withholding requirements upon the vesting of any restricted stock units. The Policy does apply, however, to any market sale of stock after restricted stock units have vested.</w:t>
      </w:r>
    </w:p>
    <w:p>
      <w:pPr>
        <w:spacing w:after="0" w:line="2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Transactions Not Involving a Purchase or Sale. </w:t>
      </w:r>
      <w:r>
        <w:rPr>
          <w:rFonts w:ascii="Times New Roman" w:cs="Times New Roman" w:eastAsia="Times New Roman" w:hAnsi="Times New Roman"/>
          <w:sz w:val="14"/>
          <w:szCs w:val="14"/>
          <w:color w:val="auto"/>
        </w:rPr>
        <w:t>Bona fide gifts are not transactions subject to this Policy, unless the person making the gift has reason to believe that the recipient intends to sell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Company’s securities while the officer, employee, director or consultant is aware of material nonpublic information, or the person making the gift is subject to the trading restrictions specified below in the “Addendum to Securities Trading Policy Regarding Pre-Clearance and Blackout Procedures” (the “</w:t>
      </w:r>
      <w:r>
        <w:rPr>
          <w:rFonts w:ascii="Times New Roman" w:cs="Times New Roman" w:eastAsia="Times New Roman" w:hAnsi="Times New Roman"/>
          <w:sz w:val="14"/>
          <w:szCs w:val="14"/>
          <w:u w:val="single" w:color="auto"/>
          <w:color w:val="auto"/>
        </w:rPr>
        <w:t>Addendum</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Restricted Stock Awards. </w:t>
      </w:r>
      <w:r>
        <w:rPr>
          <w:rFonts w:ascii="Times New Roman" w:cs="Times New Roman" w:eastAsia="Times New Roman" w:hAnsi="Times New Roman"/>
          <w:sz w:val="14"/>
          <w:szCs w:val="14"/>
          <w:color w:val="auto"/>
        </w:rPr>
        <w:t>This Policy does not apply to the vesting of restricted stock, or the exercise of a tax withholding right pursuant to which you elect to have the Company withhold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stock to satisfy tax withholding requirements upon the vesting of any restricted stock. The Policy does apply, however, to any market sale of restricted stock after it has vested.</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Stock Option Exercises. </w:t>
      </w:r>
      <w:r>
        <w:rPr>
          <w:rFonts w:ascii="Times New Roman" w:cs="Times New Roman" w:eastAsia="Times New Roman" w:hAnsi="Times New Roman"/>
          <w:sz w:val="14"/>
          <w:szCs w:val="14"/>
          <w:color w:val="auto"/>
        </w:rPr>
        <w:t>This Policy’s trading restrictions generally do not apply to the exercise of a stock option for cash or to the net exercise of a stock option. The trading restrictions do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apply, however, to any sale of the underlying stock and to a cashless exercise of the option through a broker, as this entails selling a portion of the underlying stock to cover the costs of exercise.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of Policy</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Trading on Inside Information. </w:t>
      </w:r>
      <w:r>
        <w:rPr>
          <w:rFonts w:ascii="Times New Roman" w:cs="Times New Roman" w:eastAsia="Times New Roman" w:hAnsi="Times New Roman"/>
          <w:sz w:val="14"/>
          <w:szCs w:val="14"/>
          <w:color w:val="auto"/>
        </w:rPr>
        <w:t>You may not trade in the securities of the Company, directly or through family members or other persons or entities, if you are aware of material nonpublic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relating to the Company. Similarly, you may not trade in the securities of any other company if you are aware of material nonpublic information about that company which you obtained in the course of your involvement with the Company.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Disclosure of Material Nonpublic Information to Others. </w:t>
      </w:r>
      <w:r>
        <w:rPr>
          <w:rFonts w:ascii="Times New Roman" w:cs="Times New Roman" w:eastAsia="Times New Roman" w:hAnsi="Times New Roman"/>
          <w:sz w:val="14"/>
          <w:szCs w:val="14"/>
          <w:color w:val="auto"/>
        </w:rPr>
        <w:t>You may not disclose material nonpublic information to persons within the Company whose jobs do not require them to have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Similarly, you may not communicate to any such persons any material nonpublic information about another company which you obtained in the course of your involvement with the Company.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No Tipping. </w:t>
      </w:r>
      <w:r>
        <w:rPr>
          <w:rFonts w:ascii="Times New Roman" w:cs="Times New Roman" w:eastAsia="Times New Roman" w:hAnsi="Times New Roman"/>
          <w:sz w:val="14"/>
          <w:szCs w:val="14"/>
          <w:color w:val="auto"/>
        </w:rPr>
        <w:t>You may not recommend to anyone the purchase or sale of any securities when you are aware of such material nonpublic information. This practice, known as “tipping,” also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violates the securities laws and can result in the same civil and criminal penalties that apply to insider trading, even though you did not trade and did not gain any benefit from another’s trading. Because even a casual remark recommending a purchase or sale of the Company’s securities could be misconstrued as being based upon material, nonpublic information, you should exercise caution in making any such recommendation.</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Blackout and Pre-Clearance Procedures. </w:t>
      </w:r>
      <w:r>
        <w:rPr>
          <w:rFonts w:ascii="Times New Roman" w:cs="Times New Roman" w:eastAsia="Times New Roman" w:hAnsi="Times New Roman"/>
          <w:sz w:val="14"/>
          <w:szCs w:val="14"/>
          <w:color w:val="auto"/>
        </w:rPr>
        <w:t>To help prevent inadvertent violations of the federal securities laws and the Hart-Scott Rodino Antitrust Improvements Act of 1976, and to avoid even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appearance of trading on the basis of inside information, the Company’s Board of Directors has adopted the Addendum to this Policy that applies to directors, executive officers subject to Section 16 of the Securities and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whom we refer to as “executive officers” throughout this Policy, and certain designated employees and consultants of the Company and its subsidiaries who are likely to have access to material nonpublic information about the Company. The Company will notify you if you are not a director or executive officer but are nonetheless designated to be subject to the Addendum.</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Addendum generally prohibits persons covered by it from trading in the Company’s securities during quarterly blackout periods and during certain event-specific blackouts. Persons subject to the Addendum must also pre-clear all transactions in the Company’s securities with the Company’s Legal Department. Pre-clearance is not required for purchases and sales of company securities under an approved Rule 10b5-1 Plan once the applicable cooling-off period has expired. Rule 10b5-1 Plans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04088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7">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100"/>
          </w:cols>
          <w:pgMar w:left="500" w:top="281" w:right="2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color w:val="auto"/>
        </w:rPr>
        <w:t>Definition of Material Nonpublic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Inside information has two important elements -- materiality and public availability.</w:t>
      </w:r>
    </w:p>
    <w:p>
      <w:pPr>
        <w:spacing w:after="0" w:line="161"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Material Information. </w:t>
      </w:r>
      <w:r>
        <w:rPr>
          <w:rFonts w:ascii="Times New Roman" w:cs="Times New Roman" w:eastAsia="Times New Roman" w:hAnsi="Times New Roman"/>
          <w:sz w:val="14"/>
          <w:szCs w:val="14"/>
          <w:color w:val="auto"/>
        </w:rPr>
        <w:t>Information is material if a reasonable investor would consider it important in deciding whether to buy, hold or sell a security. Any information that could reasonably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expected to affect the price of the security is material. Common examples of material information about a company are:</w:t>
      </w:r>
    </w:p>
    <w:p>
      <w:pPr>
        <w:spacing w:after="0" w:line="47" w:lineRule="exact"/>
        <w:rPr>
          <w:sz w:val="20"/>
          <w:szCs w:val="20"/>
          <w:color w:val="auto"/>
        </w:rPr>
      </w:pPr>
    </w:p>
    <w:p>
      <w:pPr>
        <w:ind w:left="500" w:hanging="297"/>
        <w:spacing w:after="0"/>
        <w:tabs>
          <w:tab w:leader="none" w:pos="50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Projections of future earnings or losses or other earnings guidance.</w:t>
      </w:r>
    </w:p>
    <w:p>
      <w:pPr>
        <w:ind w:left="500" w:hanging="297"/>
        <w:spacing w:after="0" w:line="187" w:lineRule="auto"/>
        <w:tabs>
          <w:tab w:leader="none" w:pos="5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Earnings that are inconsistent with the consensus expectations of the investment community.</w:t>
      </w:r>
    </w:p>
    <w:p>
      <w:pPr>
        <w:ind w:left="480" w:hanging="277"/>
        <w:spacing w:after="0" w:line="187" w:lineRule="auto"/>
        <w:tabs>
          <w:tab w:leader="none" w:pos="4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 change in auditors or notification that the auditors reports may no longer be relied upon.</w:t>
      </w:r>
    </w:p>
    <w:p>
      <w:pPr>
        <w:ind w:left="480" w:hanging="277"/>
        <w:spacing w:after="0" w:line="187" w:lineRule="auto"/>
        <w:tabs>
          <w:tab w:leader="none" w:pos="4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 pending or proposed merger, acquisition or tender offer or an acquisition or disposition of significant assets.</w:t>
      </w:r>
    </w:p>
    <w:p>
      <w:pPr>
        <w:ind w:left="480" w:hanging="277"/>
        <w:spacing w:after="0" w:line="187" w:lineRule="auto"/>
        <w:tabs>
          <w:tab w:leader="none" w:pos="4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 pending or proposed joint venture.</w:t>
      </w:r>
    </w:p>
    <w:p>
      <w:pPr>
        <w:ind w:left="480" w:hanging="277"/>
        <w:spacing w:after="0" w:line="187" w:lineRule="auto"/>
        <w:tabs>
          <w:tab w:leader="none" w:pos="4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 change in senior management or the board of directors.</w:t>
      </w:r>
    </w:p>
    <w:p>
      <w:pPr>
        <w:ind w:left="500" w:hanging="297"/>
        <w:spacing w:after="0" w:line="187" w:lineRule="auto"/>
        <w:tabs>
          <w:tab w:leader="none" w:pos="5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Significant related party transactions.</w:t>
      </w:r>
    </w:p>
    <w:p>
      <w:pPr>
        <w:ind w:left="500" w:hanging="297"/>
        <w:spacing w:after="0" w:line="187" w:lineRule="auto"/>
        <w:tabs>
          <w:tab w:leader="none" w:pos="5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establishment of a repurchase program for company securities.</w:t>
      </w:r>
    </w:p>
    <w:p>
      <w:pPr>
        <w:ind w:left="480" w:hanging="277"/>
        <w:spacing w:after="0" w:line="187" w:lineRule="auto"/>
        <w:tabs>
          <w:tab w:leader="none" w:pos="4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 change in the company's pricing or cost structure.</w:t>
      </w:r>
    </w:p>
    <w:p>
      <w:pPr>
        <w:ind w:left="500" w:hanging="297"/>
        <w:spacing w:after="0" w:line="187" w:lineRule="auto"/>
        <w:tabs>
          <w:tab w:leader="none" w:pos="5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Major marketing changes.</w:t>
      </w:r>
    </w:p>
    <w:p>
      <w:pPr>
        <w:ind w:left="500" w:hanging="297"/>
        <w:spacing w:after="0" w:line="187" w:lineRule="auto"/>
        <w:tabs>
          <w:tab w:leader="none" w:pos="5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Major events regarding the company's securities, including the declaration of a stock split or a cash or stock dividend and an offering of additional securities.</w:t>
      </w:r>
    </w:p>
    <w:p>
      <w:pPr>
        <w:ind w:left="500" w:hanging="297"/>
        <w:spacing w:after="0" w:line="187" w:lineRule="auto"/>
        <w:tabs>
          <w:tab w:leader="none" w:pos="5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Significant changes in the company's debt ratings or bank borrowing or other financing transactions out of the ordinary course.</w:t>
      </w:r>
    </w:p>
    <w:p>
      <w:pPr>
        <w:ind w:left="480" w:hanging="277"/>
        <w:spacing w:after="0" w:line="187" w:lineRule="auto"/>
        <w:tabs>
          <w:tab w:leader="none" w:pos="4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 company restructuring.</w:t>
      </w:r>
    </w:p>
    <w:p>
      <w:pPr>
        <w:ind w:left="500" w:hanging="297"/>
        <w:spacing w:after="0" w:line="187" w:lineRule="auto"/>
        <w:tabs>
          <w:tab w:leader="none" w:pos="5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Impending bankruptcy or the existence of severe liquidity problems.</w:t>
      </w:r>
    </w:p>
    <w:p>
      <w:pPr>
        <w:ind w:left="480" w:hanging="277"/>
        <w:spacing w:after="0" w:line="187" w:lineRule="auto"/>
        <w:tabs>
          <w:tab w:leader="none" w:pos="4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Actual or threatened major litigation, or the resolution of such litigation.</w:t>
      </w:r>
    </w:p>
    <w:p>
      <w:pPr>
        <w:ind w:left="500" w:hanging="297"/>
        <w:spacing w:after="0" w:line="187" w:lineRule="auto"/>
        <w:tabs>
          <w:tab w:leader="none" w:pos="5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New major contracts, orders, suppliers, customers or finance sources, or the loss thereof.</w:t>
      </w:r>
    </w:p>
    <w:p>
      <w:pPr>
        <w:ind w:left="500" w:hanging="297"/>
        <w:spacing w:after="0" w:line="189" w:lineRule="auto"/>
        <w:tabs>
          <w:tab w:leader="none" w:pos="50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pending introduction of major new products or the yet-to-be-publicized development of important new inventions.</w:t>
      </w:r>
    </w:p>
    <w:p>
      <w:pPr>
        <w:spacing w:after="0" w:line="1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above examples of material information are not exhaustive. 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Nonpublic Information. </w:t>
      </w:r>
      <w:r>
        <w:rPr>
          <w:rFonts w:ascii="Times New Roman" w:cs="Times New Roman" w:eastAsia="Times New Roman" w:hAnsi="Times New Roman"/>
          <w:sz w:val="14"/>
          <w:szCs w:val="14"/>
          <w:color w:val="auto"/>
        </w:rPr>
        <w:t>Nonpublic information is information that is not generally known or available to the public. One common misconception is that material information loses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“nonpublic” status as soon as a press release is issued disclosing the information. In fact, information is considered to be available to the public only when it has been released broadly to the marketplace (such as by a press release or an SEC filing) and the investing public has had time to absorb the information fully. As a general rule, information is considered nonpublic until the first full trading day after the information is broadly disseminated. For example, if the Company announces financial earnings before trading begins on a Tuesday, the first time you can buy or sell Company securities is the opening of the market on Wednesday (assuming you are not aware of other material nonpublic information at that time). However, if the Company announces earnings after trading begins on that Tuesday, the first time you can buy or sell Company securities is the opening of the market on Thursday.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04088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8">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100"/>
          </w:cols>
          <w:pgMar w:left="500" w:top="425"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color w:val="auto"/>
        </w:rPr>
        <w:t>Additional Guidance</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considers it inappropriate for those employed by or associated with the Company to engage in short-term or speculative transactions in the Company’s securities or in other transactions in the Company’s securities that may lead to inadvertent violations of the Securities Trading laws. Accordingly, your trading in Company securities is subject to the following: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Short Sales. </w:t>
      </w:r>
      <w:r>
        <w:rPr>
          <w:rFonts w:ascii="Times New Roman" w:cs="Times New Roman" w:eastAsia="Times New Roman" w:hAnsi="Times New Roman"/>
          <w:sz w:val="14"/>
          <w:szCs w:val="14"/>
          <w:color w:val="auto"/>
        </w:rPr>
        <w:t>You may not engage in short sales of the Company’s securities (sales of securities that are not then owned), including a “sale against the box” (a sale with delayed delivery).</w:t>
      </w:r>
    </w:p>
    <w:p>
      <w:pPr>
        <w:spacing w:after="0" w:line="16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Publicly Traded Options. </w:t>
      </w:r>
      <w:r>
        <w:rPr>
          <w:rFonts w:ascii="Times New Roman" w:cs="Times New Roman" w:eastAsia="Times New Roman" w:hAnsi="Times New Roman"/>
          <w:sz w:val="14"/>
          <w:szCs w:val="14"/>
          <w:color w:val="auto"/>
        </w:rPr>
        <w:t>You may not engage in transactions in publicly traded options in the Company’s securities, such as puts, calls and other derivative securities, on an exchange or in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organized market.</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Standing Orders. </w:t>
      </w:r>
      <w:r>
        <w:rPr>
          <w:rFonts w:ascii="Times New Roman" w:cs="Times New Roman" w:eastAsia="Times New Roman" w:hAnsi="Times New Roman"/>
          <w:sz w:val="14"/>
          <w:szCs w:val="14"/>
          <w:color w:val="auto"/>
        </w:rPr>
        <w:t>Standing orders regarding the Company’s securities should be used only for a very brief period of time. A standing order placed with a broker to sell or purchase stock at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specified price leaves you with no control over the timing of the transaction. A standing order transaction executed by the broker when you are aware of material nonpublic information may result in unlawful securities trading. This prohibition does not apply to purchase and sales under a Rule 10b5-1 plan that is approved by the Legal Department. Rule 10b5-1 plans are discussed below.</w:t>
      </w:r>
    </w:p>
    <w:p>
      <w:pPr>
        <w:spacing w:after="0" w:line="2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Margin Accounts and Pledges. </w:t>
      </w:r>
      <w:r>
        <w:rPr>
          <w:rFonts w:ascii="Times New Roman" w:cs="Times New Roman" w:eastAsia="Times New Roman" w:hAnsi="Times New Roman"/>
          <w:sz w:val="14"/>
          <w:szCs w:val="14"/>
          <w:color w:val="auto"/>
        </w:rPr>
        <w:t>Company securities held in a margin account or pledged as collateral for a loan may be sold without your consent by the broker if you fail to meet a margin call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by the lender in foreclosure if you default on the loan. Because a margin or foreclosure sale may occur at a time when you are aware of material nonpublic information or otherwise are not permitted to trade in Company securities, you are prohibited from holding Company securities in a margin account or pledging Company securities as collateral for a loan.</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Hedging. </w:t>
      </w:r>
      <w:r>
        <w:rPr>
          <w:rFonts w:ascii="Times New Roman" w:cs="Times New Roman" w:eastAsia="Times New Roman" w:hAnsi="Times New Roman"/>
          <w:sz w:val="14"/>
          <w:szCs w:val="14"/>
          <w:color w:val="auto"/>
        </w:rPr>
        <w:t>Certain forms of hedging or monetization transactions, such as zero-cost collars and forward sale contracts, involve the establishment of a short position in the Company’s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limit or eliminate your ability to profit from an increase in the value of the Company’s securities. When this occurs, you may no longer have the same interests and objectives as other stockholders of the Company. Therefore, you are prohibited from engaging in any hedging or monetization transactions involving Company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Plans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A Rule 10b5-1 trading plan is a written program for trading securities designed to gain the protections of the defenses against insider trading under Rule 10b5-1 (“</w:t>
      </w:r>
      <w:r>
        <w:rPr>
          <w:rFonts w:ascii="Times New Roman" w:cs="Times New Roman" w:eastAsia="Times New Roman" w:hAnsi="Times New Roman"/>
          <w:sz w:val="14"/>
          <w:szCs w:val="14"/>
          <w:u w:val="single" w:color="auto"/>
          <w:color w:val="auto"/>
        </w:rPr>
        <w:t>Rule 10b5-1</w:t>
      </w:r>
      <w:r>
        <w:rPr>
          <w:rFonts w:ascii="Times New Roman" w:cs="Times New Roman" w:eastAsia="Times New Roman" w:hAnsi="Times New Roman"/>
          <w:sz w:val="14"/>
          <w:szCs w:val="14"/>
          <w:color w:val="auto"/>
        </w:rPr>
        <w: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Exchange Act. A plan of this type establishes parameters for purchases and/or sales of the Company’s securities by a broker or other independent fiduciary, or places discretion in another person who has no material, nonpublic information. Once the plan agreement is executed, the person who creates the trading plan retains no discretion over purchases or sales of the Company’s securities under the plan. This includes the amount of the securities being traded, the trading prices and the timing of the trades. For example, a trading plan may simply instruct a broker to sell 1,000 shares on the first of every month, or it may involve a complex trading formula. In order to be eligible to rely on the defenses under Rule 10b5-1, a person subject to this Policy must enter into a Rule 10b5-1 plan for transactions in the Company’s securities that meets certain conditions specified in Rule 10b5-1 (a “</w:t>
      </w:r>
      <w:r>
        <w:rPr>
          <w:rFonts w:ascii="Times New Roman" w:cs="Times New Roman" w:eastAsia="Times New Roman" w:hAnsi="Times New Roman"/>
          <w:sz w:val="14"/>
          <w:szCs w:val="14"/>
          <w:u w:val="single" w:color="auto"/>
          <w:color w:val="auto"/>
        </w:rPr>
        <w:t>Rule 10b5-1 Plan</w:t>
      </w:r>
      <w:r>
        <w:rPr>
          <w:rFonts w:ascii="Times New Roman" w:cs="Times New Roman" w:eastAsia="Times New Roman" w:hAnsi="Times New Roman"/>
          <w:sz w:val="14"/>
          <w:szCs w:val="14"/>
          <w:color w:val="auto"/>
        </w:rPr>
        <w:t>”). If such plan meets the requirements of Rule 10b5-1, securities of the Company may be purchased or sold without regard to certain insider trading restrictions.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Pre-Approval. </w:t>
      </w:r>
      <w:r>
        <w:rPr>
          <w:rFonts w:ascii="Times New Roman" w:cs="Times New Roman" w:eastAsia="Times New Roman" w:hAnsi="Times New Roman"/>
          <w:sz w:val="14"/>
          <w:szCs w:val="14"/>
          <w:color w:val="auto"/>
        </w:rPr>
        <w:t>Because the rules governing trading plans can be complex, any person subject to the Addendum considering entering into a Rule 10b5-1 Plan should first consult the Legal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Department. All persons subject to the Addendum must obtain the written pre-approval of the Legal Department prior to (i) adopting any new plan or (ii) modifying, amending or terminating any existing plan. By providing any such pre-approval , however, the Company does not incur any obligation to assure that the plan or the other action approved complies with Rule 10b5-1 or assume any liability if it does not. Each director, officer, employee or consultant who adopts a Rule 10b5-1 Plan should consult with his or her own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04088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9">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100"/>
          </w:cols>
          <w:pgMar w:left="500" w:top="281" w:right="2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i w:val="1"/>
          <w:iCs w:val="1"/>
          <w:color w:val="auto"/>
        </w:rPr>
        <w:t>Mandatory Cooling-Off Periods.</w:t>
      </w:r>
    </w:p>
    <w:p>
      <w:pPr>
        <w:spacing w:after="0" w:line="323" w:lineRule="exact"/>
        <w:rPr>
          <w:sz w:val="20"/>
          <w:szCs w:val="20"/>
          <w:color w:val="auto"/>
        </w:rPr>
      </w:pPr>
    </w:p>
    <w:p>
      <w:pPr>
        <w:jc w:val="both"/>
        <w:ind w:left="460" w:hanging="257"/>
        <w:spacing w:after="0" w:line="230" w:lineRule="auto"/>
        <w:tabs>
          <w:tab w:leader="none" w:pos="4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b w:val="1"/>
          <w:bCs w:val="1"/>
          <w:i w:val="1"/>
          <w:iCs w:val="1"/>
          <w:color w:val="auto"/>
        </w:rPr>
        <w:t xml:space="preserve">Directors and Executive Officers. </w:t>
      </w:r>
      <w:r>
        <w:rPr>
          <w:rFonts w:ascii="Times New Roman" w:cs="Times New Roman" w:eastAsia="Times New Roman" w:hAnsi="Times New Roman"/>
          <w:sz w:val="14"/>
          <w:szCs w:val="14"/>
          <w:color w:val="auto"/>
        </w:rPr>
        <w:t>New Rule 10b5-1 Plans submitted by a director or executive officer, and amendments or modifications to an existing plan, must provide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transactions to occur no earlier than the later of the date that is (i) ninety (90) days after the effective date of the new plan, or amendment or modification to an existing plan, and (ii) two business days following the disclosure by the Company of its financial results in a Quarterly Report on Form 10-Q or Annual Report on Form 10-K covering the fiscal quarter in which the plan was adopted, amended or modified, provided that this mandatory cooling-off period shall not exceed one hundred twenty (120) days after adoption of the new plan, or amendment or modification to an existing plan.</w:t>
      </w:r>
    </w:p>
    <w:p>
      <w:pPr>
        <w:spacing w:after="0" w:line="3" w:lineRule="exact"/>
        <w:rPr>
          <w:rFonts w:ascii="Times New Roman" w:cs="Times New Roman" w:eastAsia="Times New Roman" w:hAnsi="Times New Roman"/>
          <w:sz w:val="19"/>
          <w:szCs w:val="19"/>
          <w:color w:val="auto"/>
          <w:vertAlign w:val="superscript"/>
        </w:rPr>
      </w:pPr>
    </w:p>
    <w:p>
      <w:pPr>
        <w:ind w:left="460" w:hanging="257"/>
        <w:spacing w:after="0" w:line="211" w:lineRule="auto"/>
        <w:tabs>
          <w:tab w:leader="none" w:pos="4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b w:val="1"/>
          <w:bCs w:val="1"/>
          <w:i w:val="1"/>
          <w:iCs w:val="1"/>
          <w:color w:val="auto"/>
        </w:rPr>
        <w:t xml:space="preserve">All Other Persons. </w:t>
      </w:r>
      <w:r>
        <w:rPr>
          <w:rFonts w:ascii="Times New Roman" w:cs="Times New Roman" w:eastAsia="Times New Roman" w:hAnsi="Times New Roman"/>
          <w:sz w:val="14"/>
          <w:szCs w:val="14"/>
          <w:color w:val="auto"/>
        </w:rPr>
        <w:t>New Rule 10b5-1 Plans adopted by any person subject to this Policy, other than directors and executive officers, and amendments or modifications to an existing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plan by such persons, must provide for transactions to occur no earlier than thirty (30) days after the effective date of the new plan, or amendment or modification to an existing plan.</w:t>
      </w:r>
    </w:p>
    <w:p>
      <w:pPr>
        <w:spacing w:after="0" w:line="13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Good Faith Certification. </w:t>
      </w:r>
      <w:r>
        <w:rPr>
          <w:rFonts w:ascii="Times New Roman" w:cs="Times New Roman" w:eastAsia="Times New Roman" w:hAnsi="Times New Roman"/>
          <w:sz w:val="14"/>
          <w:szCs w:val="14"/>
          <w:color w:val="auto"/>
        </w:rPr>
        <w:t>All new Rule 10b5-1 Plans, and any amendments or modifications of an existing plan, must be entered into in good faith by the applicable person, and not as part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 or scheme to evade the prohibitions of Rule 10b5-1, at a time when such person was not in possession of material nonpublic information about the Company. All directors and executive officers seeking to establish a new plan, or amend or modify an existing plan, will be required to provide a written representation to the Company certifying to that effect.</w:t>
      </w:r>
    </w:p>
    <w:p>
      <w:pPr>
        <w:spacing w:after="0" w:line="11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Discretionary Authority. </w:t>
      </w:r>
      <w:r>
        <w:rPr>
          <w:rFonts w:ascii="Times New Roman" w:cs="Times New Roman" w:eastAsia="Times New Roman" w:hAnsi="Times New Roman"/>
          <w:sz w:val="14"/>
          <w:szCs w:val="14"/>
          <w:color w:val="auto"/>
        </w:rPr>
        <w:t>All new plans, and any modifications or amendments to an existing plan, must give a third party the discretionary authority to execute purchases and sales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 on behalf of but outside the control of the person subject to this Policy, provided the third party does not possess any material nonpublic information about the Company.</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Alternatively, the plan must explicitly specify the security or securities to be purchased or sold, the number of shares, the prices and/or dates of transactions, or other formula(s) describing such transactions.</w:t>
      </w:r>
    </w:p>
    <w:p>
      <w:pPr>
        <w:spacing w:after="0" w:line="12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Overlapping Plans. </w:t>
      </w:r>
      <w:r>
        <w:rPr>
          <w:rFonts w:ascii="Times New Roman" w:cs="Times New Roman" w:eastAsia="Times New Roman" w:hAnsi="Times New Roman"/>
          <w:sz w:val="14"/>
          <w:szCs w:val="14"/>
          <w:color w:val="auto"/>
        </w:rPr>
        <w:t>No person subject to this Policy may maintain more than one active plan at the same time, without the pre-approval of the Legal Department. Multiple overlapping plans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be approved by the Legal Department in limited circumstances as permitted under Rule 10b5-1. This restriction on multiple overlapping plans will not apply to a plan adopted solely and exclusively for the purpose of selling Company securities to satisfy a person’s tax obligations through a “sell-to-cover” method in connection with the vesting of equity awards (“</w:t>
      </w:r>
      <w:r>
        <w:rPr>
          <w:rFonts w:ascii="Times New Roman" w:cs="Times New Roman" w:eastAsia="Times New Roman" w:hAnsi="Times New Roman"/>
          <w:sz w:val="14"/>
          <w:szCs w:val="14"/>
          <w:u w:val="single" w:color="auto"/>
          <w:color w:val="auto"/>
        </w:rPr>
        <w:t>Sell-to-Cover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Plans</w:t>
      </w:r>
      <w:r>
        <w:rPr>
          <w:rFonts w:ascii="Times New Roman" w:cs="Times New Roman" w:eastAsia="Times New Roman" w:hAnsi="Times New Roman"/>
          <w:sz w:val="14"/>
          <w:szCs w:val="14"/>
          <w:color w:val="auto"/>
        </w:rPr>
        <w:t>”). Sales under Sell-to-Cover Plans must be strictly limited to the number of securities needed to cover such person’s tax obligations and the award holder may not be permitted to exercise control over the timing of such sales. This exemption does not apply to plans for sales incident to the exercise of option awards.</w:t>
      </w:r>
    </w:p>
    <w:p>
      <w:pPr>
        <w:spacing w:after="0" w:line="127"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Single-Trade Plans. </w:t>
      </w:r>
      <w:r>
        <w:rPr>
          <w:rFonts w:ascii="Times New Roman" w:cs="Times New Roman" w:eastAsia="Times New Roman" w:hAnsi="Times New Roman"/>
          <w:sz w:val="14"/>
          <w:szCs w:val="14"/>
          <w:color w:val="auto"/>
        </w:rPr>
        <w:t>Only one “single-trade plan” may be utilized by a person subject to this Policy in any twelve-month period. A single-trade plan is a Rule 10b5-1 Plan for the open 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or sale of the total amount of the securities subject to the plan as a single transaction. This restriction does not apply to Sell-to-Cover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04088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0">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100"/>
          </w:cols>
          <w:pgMar w:left="500" w:top="120"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color w:val="auto"/>
        </w:rPr>
        <w:t>Post-Employment Transactions</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This Policy continues to apply to your transactions in Company securities even after you have ended employment or other services to the Company or a subsidiary as follows: if you are aware of material nonpublic information when your employment or service relationship ends, you may not trade in Company securities until that information has become public or is no longer material.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Unauthorized Disclosure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as confidential and proprietary to the Company. Inadvertent disclosure of confidential or inside information may expose the Company and you to significant risk of investigation and litigation.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Disclosures to Outsiders. </w:t>
      </w:r>
      <w:r>
        <w:rPr>
          <w:rFonts w:ascii="Times New Roman" w:cs="Times New Roman" w:eastAsia="Times New Roman" w:hAnsi="Times New Roman"/>
          <w:sz w:val="14"/>
          <w:szCs w:val="14"/>
          <w:color w:val="auto"/>
        </w:rPr>
        <w:t>The timing and nature of the Company’s disclosure of material information to outsiders is subject to legal rules, the breach of which could result in substantial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to you, the Company and its management. Also, individuals who talk directly to reporters without going through the proper channels risk providing incorrect information or revealing proprietary strategies. Accordingly, it is important that responses to inquiries about the Company by the press, investment analysts or others in the financial community be made on the Company’s behalf only through authorized individuals. Unless responding to such inquiries is among your specifically authorized responsibilities, you should politely refer all media representatives to the Vishay Investor Relations Department.</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Disclosure to Company Personnel. </w:t>
      </w:r>
      <w:r>
        <w:rPr>
          <w:rFonts w:ascii="Times New Roman" w:cs="Times New Roman" w:eastAsia="Times New Roman" w:hAnsi="Times New Roman"/>
          <w:sz w:val="14"/>
          <w:szCs w:val="14"/>
          <w:color w:val="auto"/>
        </w:rPr>
        <w:t>You should consider the consequences of disclosure of material, nonpublic information even in discussions with Company personnel. For example,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individuals could be prohibited from trading in the Company’s securities until the information is publicly disclosed or, as a result of your communication, they could inadvertently engage in a violation of the securities laws or this Policy. Accordingly, even within the Company, you should restrict dissemination of material, nonpublic information on a need-to- know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Assistance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Your compliance with this Policy is of the utmost importance both for you and for the Company. If you have any questions about this Policy or its application to any proposed transaction, you may obtain additional guidance from the Legal Department. Do not try to resolve uncertainties on your own, as the rules relating to securities trading are often complex, not always intuitive and carry severe consequences.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Consequences of Violation</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Violation of the Policy may result in both civil and criminal penalties under applicable securities laws. You may also be subject to Company sanctions, that could include termination of your relationship with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Policy is amended on May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04088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1">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100"/>
          </w:cols>
          <w:pgMar w:left="500" w:top="281" w:right="299" w:bottom="1440" w:gutter="0" w:footer="0" w:header="0"/>
        </w:sectPr>
      </w:pPr>
    </w:p>
    <w:bookmarkStart w:id="144" w:name="page145"/>
    <w:bookmarkEnd w:id="14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3414395</wp:posOffset>
            </wp:positionH>
            <wp:positionV relativeFrom="page">
              <wp:posOffset>191770</wp:posOffset>
            </wp:positionV>
            <wp:extent cx="857250" cy="6286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857250" cy="6286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May 23, 2023</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ADDENDUM TO SECURITIES TRADING POLICY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REGARDING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PRE-CLEARANCE AND BLACKOUT PROCEDURES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To help prevent inadvertent violations of the federal securities laws and the Hart-Scott Rodino Antitrust Improvements Act of 1976 (the “</w:t>
      </w:r>
      <w:r>
        <w:rPr>
          <w:rFonts w:ascii="Times New Roman" w:cs="Times New Roman" w:eastAsia="Times New Roman" w:hAnsi="Times New Roman"/>
          <w:sz w:val="14"/>
          <w:szCs w:val="14"/>
          <w:u w:val="single" w:color="auto"/>
          <w:color w:val="auto"/>
        </w:rPr>
        <w:t>HSR Act</w:t>
      </w:r>
      <w:r>
        <w:rPr>
          <w:rFonts w:ascii="Times New Roman" w:cs="Times New Roman" w:eastAsia="Times New Roman" w:hAnsi="Times New Roman"/>
          <w:sz w:val="14"/>
          <w:szCs w:val="14"/>
          <w:color w:val="auto"/>
        </w:rPr>
        <w:t>”) and to avoid even the appearance of trading on inside information, Vishay Intertechnology, Inc.’s board of directors has adopted this Addendum (this “</w:t>
      </w:r>
      <w:r>
        <w:rPr>
          <w:rFonts w:ascii="Times New Roman" w:cs="Times New Roman" w:eastAsia="Times New Roman" w:hAnsi="Times New Roman"/>
          <w:sz w:val="14"/>
          <w:szCs w:val="14"/>
          <w:u w:val="single" w:color="auto"/>
          <w:color w:val="auto"/>
        </w:rPr>
        <w:t>Addendum</w:t>
      </w:r>
      <w:r>
        <w:rPr>
          <w:rFonts w:ascii="Times New Roman" w:cs="Times New Roman" w:eastAsia="Times New Roman" w:hAnsi="Times New Roman"/>
          <w:sz w:val="14"/>
          <w:szCs w:val="14"/>
          <w:color w:val="auto"/>
        </w:rPr>
        <w:t>”) to the Vishay Securities Trading Policy (the “</w:t>
      </w:r>
      <w:r>
        <w:rPr>
          <w:rFonts w:ascii="Times New Roman" w:cs="Times New Roman" w:eastAsia="Times New Roman" w:hAnsi="Times New Roman"/>
          <w:sz w:val="14"/>
          <w:szCs w:val="14"/>
          <w:u w:val="single" w:color="auto"/>
          <w:color w:val="auto"/>
        </w:rPr>
        <w:t>Policy</w:t>
      </w:r>
      <w:r>
        <w:rPr>
          <w:rFonts w:ascii="Times New Roman" w:cs="Times New Roman" w:eastAsia="Times New Roman" w:hAnsi="Times New Roman"/>
          <w:sz w:val="14"/>
          <w:szCs w:val="14"/>
          <w:color w:val="auto"/>
        </w:rPr>
        <w:t>”). This Addendum applies to directors, executive officers subject to Section 16 of the Securities and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whom we refer to as “executive officers” throughout this Addendum, and certain designated employees and consultants of the Company and its subsidiaries who are likely to have access to material nonpublic information about the Company. These individuals are referred to in this Addendum as “</w:t>
      </w:r>
      <w:r>
        <w:rPr>
          <w:rFonts w:ascii="Times New Roman" w:cs="Times New Roman" w:eastAsia="Times New Roman" w:hAnsi="Times New Roman"/>
          <w:sz w:val="14"/>
          <w:szCs w:val="14"/>
          <w:u w:val="single" w:color="auto"/>
          <w:color w:val="auto"/>
        </w:rPr>
        <w:t>Covered Persons</w:t>
      </w:r>
      <w:r>
        <w:rPr>
          <w:rFonts w:ascii="Times New Roman" w:cs="Times New Roman" w:eastAsia="Times New Roman" w:hAnsi="Times New Roman"/>
          <w:sz w:val="14"/>
          <w:szCs w:val="14"/>
          <w:color w:val="auto"/>
        </w:rPr>
        <w:t xml:space="preserve">.” The names and/or positions of the Covered Persons subject to this Addendum are listed on the attached Schedule I. The Company may from time to time designate other individuals or positions that, are subject to this Addendum and will amend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from time to time as necessary to reflect changes.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Addendum supplements the Policy. Covered Persons subject to the Addendum must also comply with the Policy.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Pre-clearance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Covered Persons are subject to the following pre-clearance procedures.</w:t>
      </w:r>
    </w:p>
    <w:p>
      <w:pPr>
        <w:spacing w:after="0" w:line="16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You, together with your immediate family members and members of your or their households, may not engage in any transaction involving the Company’s securities without first obtaining preclearance of the transaction from the Company’s Legal Department.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This includes stock plan transactions such as an option exercise, gifts, loans, contribution to a trust or any other transfer. A request for pre-clearance should be submitted to the Legal Department at least two business days in advance of the proposed transaction. The Legal Department is under no obligation to approve a trade submitted for preclearance, and may determine not to permit the trade. Unless the Legal Department specifies otherwise, a pre-clearance for a trade or other activity involving Company securities will be valid for a period of five business days from the date on which the pre-clearance is given.</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When a request for pre-clearance is made, the requestor should carefully consider whether he or she may be aware of any material non-public information about the Company, and should describe fully those circumstances to the Legal Department.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2"/>
          <w:szCs w:val="12"/>
          <w:color w:val="auto"/>
        </w:rPr>
        <w:t xml:space="preserve"> The Corporate General Counsel may not trade in Company securities unless the Chief Executive Officer or the Chief Financial Officer has approved the trade(s) in accordance with the procedures set forth in this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04088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3">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100"/>
          </w:cols>
          <w:pgMar w:left="500" w:top="1440" w:right="2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color w:val="auto"/>
        </w:rPr>
        <w:t>Blackout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Covered Persons are subject to the following blackout procedures.</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Blackout Periods. </w:t>
      </w:r>
      <w:r>
        <w:rPr>
          <w:rFonts w:ascii="Times New Roman" w:cs="Times New Roman" w:eastAsia="Times New Roman" w:hAnsi="Times New Roman"/>
          <w:sz w:val="14"/>
          <w:szCs w:val="14"/>
          <w:color w:val="auto"/>
        </w:rPr>
        <w:t>The Company’s announcement of its quarterly and annual financial results almost always has the potential to have a material effect on the market for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Therefore, to avoid even the appearance of trading on the basis of material nonpublic information, you may not trade in the Company’s securities during the period beginning 15 days before the end of the quarter or year and ending after the first full business day following the release of the Company’s earnings for that quarter or year.</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Interim Earnings Guidance and Event-Specific Blackouts. </w:t>
      </w:r>
      <w:r>
        <w:rPr>
          <w:rFonts w:ascii="Times New Roman" w:cs="Times New Roman" w:eastAsia="Times New Roman" w:hAnsi="Times New Roman"/>
          <w:sz w:val="14"/>
          <w:szCs w:val="14"/>
          <w:color w:val="auto"/>
        </w:rPr>
        <w:t>The Company may on occasion issue interim earnings guidance or other potentially material information by means of a press release,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From time to time, an event may occur that is material to the Company and is known by only a few directors, executives, certain employees or consultants. So long as the event remains material and nonpublic, the persons who are aware of the event, as well as other persons covered by the earnings blackout procedures, may not trade in the Company’s securities, as follows.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Legal Department will inform the requesting person of the existence of a blackout period, without disclosing the reason for the blackout. Any person made aware of the existence of an event-specific blackout should not disclose the existence of the blackout to any other person. The failure of the Legal Department to designate a person as being subject to an event-specific blackout will not relieve that person of the obligation not to trade while aware of material nonpublic information.</w:t>
      </w:r>
    </w:p>
    <w:p>
      <w:pPr>
        <w:spacing w:after="0" w:line="2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Hardship Exceptions. </w:t>
      </w:r>
      <w:r>
        <w:rPr>
          <w:rFonts w:ascii="Times New Roman" w:cs="Times New Roman" w:eastAsia="Times New Roman" w:hAnsi="Times New Roman"/>
          <w:sz w:val="14"/>
          <w:szCs w:val="14"/>
          <w:color w:val="auto"/>
        </w:rPr>
        <w:t>A Covered Person who is subject to an earnings blackout period and who has an unexpected and urgent need to sell Company stock in order to generate cash may,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appropriate circumstances, be permitted to sell Company stock even during the blackout period. Hardship exceptions may be granted only by the Legal Department and must be requested at least two days in advance of the proposed trade. A hardship exception may be granted only if the Legal Department concludes that the person does not in fact possess material nonpublic information. Under no circumstance will a hardship exception be granted during an event-specific blackout period.</w:t>
      </w:r>
    </w:p>
    <w:p>
      <w:pPr>
        <w:spacing w:after="0" w:line="1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Exceptions. </w:t>
      </w:r>
      <w:r>
        <w:rPr>
          <w:rFonts w:ascii="Times New Roman" w:cs="Times New Roman" w:eastAsia="Times New Roman" w:hAnsi="Times New Roman"/>
          <w:sz w:val="14"/>
          <w:szCs w:val="14"/>
          <w:color w:val="auto"/>
        </w:rPr>
        <w:t>The earnings blackout periods and event-specific blackout periods do not apply to those transactions to which this Policy does not apply, as described above under the heading,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“Transactions Not Covered by the Policy.” Further, the pre-clearance and blackout period requirements do not apply to transactions conducted pursuant to approved Rule 10b5-1 Plans, described below under the heading, “Exception for Approved 10b5-1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04088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4">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100"/>
          </w:cols>
          <w:pgMar w:left="500" w:top="281" w:right="2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color w:val="auto"/>
        </w:rPr>
        <w:t>Exception for Approved 10b5-1 Plans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Trades by Covered Persons in the Company’s securities that are executed pursuant to an approved Rule 10b5-1 Plan are not subject to the prohibition on trading on the basis of material nonpublic information contained in the Policy or, after the applicable cooling-off period, to the restrictions set forth above relating to pre-clearance procedures and blackout periods. As stated in the Policy, however, all trading plans of Covered Persons must be approved in advance in writing by the Legal Department.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Post-Employment Transactions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you are aware of material nonpublic information when you terminate employment or services, you may not trade in the Company’s securities until that information has become public or is no longer material. In all other respects, the procedures set forth in this Addendum will cease to apply to your transactions in Company securities upon the expiration of any “blackout period” that is applicable to your transactions at the time of your termination of employment or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Compliance with the HSR Act, Rule 144 and Section 16</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Directors and executive officers are responsible for compliance with the HSR Act, Rule 144 of the Securities Act of 1933, and Section 16 of the Exchange Act in connection with their transactions in the Company’s securities. The requirements of the Policy and this Addendum do not supersede the required compliance with your obligations under the HSR Act, Rule 144 and Section 16.</w:t>
      </w:r>
    </w:p>
    <w:p>
      <w:pPr>
        <w:spacing w:after="0" w:line="2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HSR Act. </w:t>
      </w:r>
      <w:r>
        <w:rPr>
          <w:rFonts w:ascii="Times New Roman" w:cs="Times New Roman" w:eastAsia="Times New Roman" w:hAnsi="Times New Roman"/>
          <w:sz w:val="14"/>
          <w:szCs w:val="14"/>
          <w:color w:val="auto"/>
        </w:rPr>
        <w:t>The HSR Act was adopted to give federal antitrust enforcement agencies advance notice of transactions that might harm competition. However, open-market purchases of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and compensation related acquisitions of voting stock from the Company by its executive officers and directors can technically trigger HSR flings if the person acquiring the securities owns, or would own after the acquisition, securities in excess of the filing thresholds. Directors and executive officers with significant ownership interests in the Company should be aware that they may need to make a filing with the Federal Trade Commission and the Department of Justice pursuant to the HSR Act at least 30 days before an acquisition or transfer of Company securities. The Legal Department can answer further questions about the applicability of the HSR Act to a particular situation.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Rule 144. </w:t>
      </w:r>
      <w:r>
        <w:rPr>
          <w:rFonts w:ascii="Times New Roman" w:cs="Times New Roman" w:eastAsia="Times New Roman" w:hAnsi="Times New Roman"/>
          <w:sz w:val="14"/>
          <w:szCs w:val="14"/>
          <w:color w:val="auto"/>
        </w:rPr>
        <w:t>Directors and executive officers are required to file Form 144 before making open market sales of Vishay stock. This form is generally prepared and filed by your broker.</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Section 16. </w:t>
      </w:r>
      <w:r>
        <w:rPr>
          <w:rFonts w:ascii="Times New Roman" w:cs="Times New Roman" w:eastAsia="Times New Roman" w:hAnsi="Times New Roman"/>
          <w:sz w:val="14"/>
          <w:szCs w:val="14"/>
          <w:color w:val="auto"/>
        </w:rPr>
        <w:t>Directors and executive officers should be aware that most transactions in Vishay stock are subject to the accelerated two business day reporting requirements under Section 16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Exchange Act. The Company’s policy is to assist directors and executive officers in completing and filing their Section 16 reports. It is important that the Legal Department receive prompt notice of reportable transactions, so that the Company can assist in filing the required reports on a timely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04088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5">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100"/>
          </w:cols>
          <w:pgMar w:left="500" w:top="281"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color w:val="auto"/>
        </w:rPr>
        <w:t>Company Assistance</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Your compliance with this Addendum and the Policy is of the utmost importance both for you and for the Company. If you have any questions about this Addendum, the Policy or their application to any proposed transaction, you may obtain additional guidance from the Legal Department.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Covered Persons must certify their understanding of, and intent to comply with, the Policy and this Addendum on the form attached to this Addendum.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Addendum is amended on May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309245</wp:posOffset>
            </wp:positionV>
            <wp:extent cx="717804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80"/>
          </w:cols>
          <w:pgMar w:left="500" w:top="281" w:right="319" w:bottom="1440" w:gutter="0" w:footer="0" w:header="0"/>
        </w:sectPr>
      </w:pPr>
    </w:p>
    <w:bookmarkStart w:id="148" w:name="page149"/>
    <w:bookmarkEnd w:id="148"/>
    <w:p>
      <w:pPr>
        <w:spacing w:after="0" w:line="3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3414395</wp:posOffset>
            </wp:positionH>
            <wp:positionV relativeFrom="page">
              <wp:posOffset>283210</wp:posOffset>
            </wp:positionV>
            <wp:extent cx="857250" cy="6286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857250" cy="62865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ADDENDUM TO SECURITIES TRADING POLICY REGARDING PRE-CLEARANCE</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BLACKOUT PROCEDURES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Vishay Intertechnology, Inc.:</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 have received and read a copy of the Vishay Intertechnology, Inc. Amended Securities Trading Policy, dated May 23, 2023 (the “</w:t>
      </w:r>
      <w:r>
        <w:rPr>
          <w:rFonts w:ascii="Times New Roman" w:cs="Times New Roman" w:eastAsia="Times New Roman" w:hAnsi="Times New Roman"/>
          <w:sz w:val="14"/>
          <w:szCs w:val="14"/>
          <w:u w:val="single" w:color="auto"/>
          <w:color w:val="auto"/>
        </w:rPr>
        <w:t>Policy</w:t>
      </w:r>
      <w:r>
        <w:rPr>
          <w:rFonts w:ascii="Times New Roman" w:cs="Times New Roman" w:eastAsia="Times New Roman" w:hAnsi="Times New Roman"/>
          <w:sz w:val="14"/>
          <w:szCs w:val="14"/>
          <w:color w:val="auto"/>
        </w:rPr>
        <w:t>”), and the Addendum to Securities Trading Policy Regarding Pre-Clearance and Blackout Procedures dated May 23, 2023 (the “</w:t>
      </w:r>
      <w:r>
        <w:rPr>
          <w:rFonts w:ascii="Times New Roman" w:cs="Times New Roman" w:eastAsia="Times New Roman" w:hAnsi="Times New Roman"/>
          <w:sz w:val="14"/>
          <w:szCs w:val="14"/>
          <w:u w:val="single" w:color="auto"/>
          <w:color w:val="auto"/>
        </w:rPr>
        <w:t>Addendum</w:t>
      </w:r>
      <w:r>
        <w:rPr>
          <w:rFonts w:ascii="Times New Roman" w:cs="Times New Roman" w:eastAsia="Times New Roman" w:hAnsi="Times New Roman"/>
          <w:sz w:val="14"/>
          <w:szCs w:val="14"/>
          <w:color w:val="auto"/>
        </w:rPr>
        <w:t>”). I hereby agree to comply with the requirements of the Policy and the Addendum.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04088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8">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080"/>
          </w:cols>
          <w:pgMar w:left="500" w:top="1440" w:right="319" w:bottom="1440" w:gutter="0" w:footer="0" w:header="0"/>
        </w:sectPr>
      </w:pPr>
    </w:p>
    <w:bookmarkStart w:id="149" w:name="page150"/>
    <w:bookmarkEnd w:id="149"/>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Schedule I</w:t>
      </w:r>
      <w:r>
        <w:rPr>
          <w:rFonts w:ascii="Times New Roman" w:cs="Times New Roman" w:eastAsia="Times New Roman" w:hAnsi="Times New Roman"/>
          <w:sz w:val="23"/>
          <w:szCs w:val="23"/>
          <w:color w:val="auto"/>
          <w:vertAlign w:val="superscript"/>
        </w:rPr>
        <w:t>2</w:t>
      </w:r>
    </w:p>
    <w:p>
      <w:pPr>
        <w:spacing w:after="0" w:line="4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Covered Persons</w:t>
      </w:r>
    </w:p>
    <w:p>
      <w:pPr>
        <w:spacing w:after="0" w:line="147" w:lineRule="exact"/>
        <w:rPr>
          <w:sz w:val="20"/>
          <w:szCs w:val="20"/>
          <w:color w:val="auto"/>
        </w:rPr>
      </w:pPr>
    </w:p>
    <w:p>
      <w:pPr>
        <w:ind w:left="453" w:hanging="282"/>
        <w:spacing w:after="0"/>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w:t>
      </w:r>
    </w:p>
    <w:p>
      <w:pPr>
        <w:spacing w:after="0" w:line="17" w:lineRule="exact"/>
        <w:rPr>
          <w:rFonts w:ascii="Times New Roman" w:cs="Times New Roman" w:eastAsia="Times New Roman" w:hAnsi="Times New Roman"/>
          <w:sz w:val="14"/>
          <w:szCs w:val="14"/>
          <w:color w:val="auto"/>
        </w:rPr>
      </w:pPr>
    </w:p>
    <w:p>
      <w:pPr>
        <w:ind w:left="453" w:hanging="282"/>
        <w:spacing w:after="0"/>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subject to Section 16 of the Exchange Act</w:t>
      </w:r>
    </w:p>
    <w:p>
      <w:pPr>
        <w:spacing w:after="0" w:line="1" w:lineRule="exact"/>
        <w:rPr>
          <w:rFonts w:ascii="Times New Roman" w:cs="Times New Roman" w:eastAsia="Times New Roman" w:hAnsi="Times New Roman"/>
          <w:sz w:val="14"/>
          <w:szCs w:val="14"/>
          <w:color w:val="auto"/>
        </w:rPr>
      </w:pPr>
    </w:p>
    <w:p>
      <w:pPr>
        <w:ind w:left="453" w:hanging="282"/>
        <w:spacing w:after="0"/>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President's or Equivalent Senior Leader Committee</w:t>
      </w:r>
    </w:p>
    <w:p>
      <w:pPr>
        <w:spacing w:after="0" w:line="1" w:lineRule="exact"/>
        <w:rPr>
          <w:rFonts w:ascii="Times New Roman" w:cs="Times New Roman" w:eastAsia="Times New Roman" w:hAnsi="Times New Roman"/>
          <w:sz w:val="14"/>
          <w:szCs w:val="14"/>
          <w:color w:val="auto"/>
        </w:rPr>
      </w:pPr>
    </w:p>
    <w:p>
      <w:pPr>
        <w:ind w:left="453" w:hanging="282"/>
        <w:spacing w:after="0"/>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Relations</w:t>
      </w:r>
    </w:p>
    <w:p>
      <w:pPr>
        <w:spacing w:after="0" w:line="1" w:lineRule="exact"/>
        <w:rPr>
          <w:rFonts w:ascii="Times New Roman" w:cs="Times New Roman" w:eastAsia="Times New Roman" w:hAnsi="Times New Roman"/>
          <w:sz w:val="14"/>
          <w:szCs w:val="14"/>
          <w:color w:val="auto"/>
        </w:rPr>
      </w:pPr>
    </w:p>
    <w:p>
      <w:pPr>
        <w:ind w:left="453" w:hanging="282"/>
        <w:spacing w:after="0"/>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Controlling</w:t>
      </w:r>
    </w:p>
    <w:p>
      <w:pPr>
        <w:spacing w:after="0" w:line="1" w:lineRule="exact"/>
        <w:rPr>
          <w:rFonts w:ascii="Times New Roman" w:cs="Times New Roman" w:eastAsia="Times New Roman" w:hAnsi="Times New Roman"/>
          <w:sz w:val="14"/>
          <w:szCs w:val="14"/>
          <w:color w:val="auto"/>
        </w:rPr>
      </w:pPr>
    </w:p>
    <w:p>
      <w:pPr>
        <w:ind w:left="453" w:hanging="282"/>
        <w:spacing w:after="0"/>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Treasury</w:t>
      </w:r>
    </w:p>
    <w:p>
      <w:pPr>
        <w:spacing w:after="0" w:line="1" w:lineRule="exact"/>
        <w:rPr>
          <w:rFonts w:ascii="Times New Roman" w:cs="Times New Roman" w:eastAsia="Times New Roman" w:hAnsi="Times New Roman"/>
          <w:sz w:val="14"/>
          <w:szCs w:val="14"/>
          <w:color w:val="auto"/>
        </w:rPr>
      </w:pPr>
    </w:p>
    <w:p>
      <w:pPr>
        <w:ind w:left="453" w:hanging="282"/>
        <w:spacing w:after="0"/>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Tax</w:t>
      </w:r>
    </w:p>
    <w:p>
      <w:pPr>
        <w:spacing w:after="0" w:line="1" w:lineRule="exact"/>
        <w:rPr>
          <w:rFonts w:ascii="Times New Roman" w:cs="Times New Roman" w:eastAsia="Times New Roman" w:hAnsi="Times New Roman"/>
          <w:sz w:val="14"/>
          <w:szCs w:val="14"/>
          <w:color w:val="auto"/>
        </w:rPr>
      </w:pPr>
    </w:p>
    <w:p>
      <w:pPr>
        <w:ind w:left="453" w:hanging="282"/>
        <w:spacing w:after="0"/>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Legal</w:t>
      </w:r>
    </w:p>
    <w:p>
      <w:pPr>
        <w:spacing w:after="0" w:line="1" w:lineRule="exact"/>
        <w:rPr>
          <w:rFonts w:ascii="Times New Roman" w:cs="Times New Roman" w:eastAsia="Times New Roman" w:hAnsi="Times New Roman"/>
          <w:sz w:val="14"/>
          <w:szCs w:val="14"/>
          <w:color w:val="auto"/>
        </w:rPr>
      </w:pPr>
    </w:p>
    <w:p>
      <w:pPr>
        <w:ind w:left="453" w:hanging="282"/>
        <w:spacing w:after="0"/>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HR</w:t>
      </w:r>
    </w:p>
    <w:p>
      <w:pPr>
        <w:spacing w:after="0" w:line="1" w:lineRule="exact"/>
        <w:rPr>
          <w:sz w:val="20"/>
          <w:szCs w:val="20"/>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Controlling</w:t>
      </w:r>
    </w:p>
    <w:p>
      <w:pPr>
        <w:spacing w:after="0" w:line="1" w:lineRule="exact"/>
        <w:rPr>
          <w:rFonts w:ascii="Times New Roman" w:cs="Times New Roman" w:eastAsia="Times New Roman" w:hAnsi="Times New Roman"/>
          <w:sz w:val="14"/>
          <w:szCs w:val="14"/>
          <w:color w:val="auto"/>
        </w:rPr>
      </w:pPr>
    </w:p>
    <w:p>
      <w:pPr>
        <w:ind w:left="453" w:hanging="315"/>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Audit</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Sales Heads</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Controllers</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Legal</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HR</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Country Management</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Division Heads</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Division Controllers</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Division R&amp;D Heads</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Heads</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HR Business Partners</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Reports to the CEO</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Reports to the CFO</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Recipients of Certain Finance/Operational Reports</w:t>
      </w:r>
    </w:p>
    <w:p>
      <w:pPr>
        <w:spacing w:after="0" w:line="1" w:lineRule="exact"/>
        <w:rPr>
          <w:rFonts w:ascii="Times New Roman" w:cs="Times New Roman" w:eastAsia="Times New Roman" w:hAnsi="Times New Roman"/>
          <w:sz w:val="14"/>
          <w:szCs w:val="14"/>
          <w:color w:val="auto"/>
        </w:rPr>
      </w:pPr>
    </w:p>
    <w:p>
      <w:pPr>
        <w:ind w:left="453" w:hanging="318"/>
        <w:spacing w:after="0"/>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individuals identified by the Executive Team</w:t>
      </w:r>
    </w:p>
    <w:p>
      <w:pPr>
        <w:spacing w:after="0" w:line="172" w:lineRule="exact"/>
        <w:rPr>
          <w:sz w:val="20"/>
          <w:szCs w:val="20"/>
          <w:color w:val="auto"/>
        </w:rPr>
      </w:pPr>
    </w:p>
    <w:p>
      <w:pPr>
        <w:ind w:left="-7" w:firstLine="7"/>
        <w:spacing w:after="0" w:line="189" w:lineRule="auto"/>
        <w:tabs>
          <w:tab w:leader="none" w:pos="89"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auto"/>
        </w:rPr>
        <w:t>Covered Persons should include any person and any person that holds a specific position or in a specific department that recurrently has access to inside information. Therefore, if all accounting personnel will be Covered Persons, this schedule will simply list “Accounting Department” and any individual in such department will be subject to this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297180</wp:posOffset>
            </wp:positionV>
            <wp:extent cx="7040880"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9">
                      <a:extLst>
                        <a:ext uri="{28A0092B-C50C-407E-A947-70E740481C1C}"/>
                      </a:extLst>
                    </a:blip>
                    <a:srcRect/>
                    <a:stretch>
                      <a:fillRect/>
                    </a:stretch>
                  </pic:blipFill>
                  <pic:spPr bwMode="auto">
                    <a:xfrm>
                      <a:off x="0" y="0"/>
                      <a:ext cx="7040880" cy="11430"/>
                    </a:xfrm>
                    <a:prstGeom prst="rect">
                      <a:avLst/>
                    </a:prstGeom>
                    <a:noFill/>
                  </pic:spPr>
                </pic:pic>
              </a:graphicData>
            </a:graphic>
          </wp:anchor>
        </w:drawing>
      </w:r>
    </w:p>
    <w:p>
      <w:pPr>
        <w:sectPr>
          <w:pgSz w:w="11900" w:h="16838" w:orient="portrait"/>
          <w:cols w:equalWidth="0" w:num="1">
            <w:col w:w="11093"/>
          </w:cols>
          <w:pgMar w:left="507" w:top="281" w:right="299" w:bottom="1440" w:gutter="0" w:footer="0" w:header="0"/>
        </w:sectPr>
      </w:pPr>
    </w:p>
    <w:bookmarkStart w:id="150" w:name="page151"/>
    <w:bookmarkEnd w:id="150"/>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3414395</wp:posOffset>
            </wp:positionH>
            <wp:positionV relativeFrom="page">
              <wp:posOffset>191770</wp:posOffset>
            </wp:positionV>
            <wp:extent cx="857250" cy="6286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857250" cy="6286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FORM OF EVENT-SPECIFIC BLACKOUT-LETTER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Date: </w:t>
      </w:r>
      <w:r>
        <w:rPr>
          <w:rFonts w:ascii="Times New Roman" w:cs="Times New Roman" w:eastAsia="Times New Roman" w:hAnsi="Times New Roman"/>
          <w:sz w:val="14"/>
          <w:szCs w:val="14"/>
          <w:b w:val="1"/>
          <w:bCs w:val="1"/>
          <w:color w:val="auto"/>
        </w:rPr>
        <w:t>_______________</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Dear </w:t>
      </w:r>
      <w:r>
        <w:rPr>
          <w:rFonts w:ascii="Times New Roman" w:cs="Times New Roman" w:eastAsia="Times New Roman" w:hAnsi="Times New Roman"/>
          <w:sz w:val="14"/>
          <w:szCs w:val="14"/>
          <w:b w:val="1"/>
          <w:bCs w:val="1"/>
          <w:color w:val="auto"/>
        </w:rPr>
        <w:t>_______________</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Until further notice, you may not trade in any securities of the Company, as described under “Scope of Policy-Transactions Covered” in the Company’s Amended Securities Trading Policy previously delivered to you. You also may not inform anyone else of these restrictions on trading.</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These restrictions on trading do not apply to the exercise for cash of stock options granted to you by the Company. However, sale of stock received from an option exercise, including in a broker-assisted cashless exercise, is subject to the restrictions. In addition, these restrictions do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 after it has vested. The restrictions also do not apply to trading under an approved Rule 10b5-1 plan, once the applicable cooling off period has expired.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Name: </w:t>
      </w:r>
      <w:r>
        <w:rPr>
          <w:rFonts w:ascii="Times New Roman" w:cs="Times New Roman" w:eastAsia="Times New Roman" w:hAnsi="Times New Roman"/>
          <w:sz w:val="14"/>
          <w:szCs w:val="14"/>
          <w:b w:val="1"/>
          <w:bCs w:val="1"/>
          <w:color w:val="auto"/>
        </w:rPr>
        <w:t>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 Department</w:t>
      </w:r>
    </w:p>
    <w:sectPr>
      <w:pgSz w:w="11900" w:h="16838" w:orient="portrait"/>
      <w:cols w:equalWidth="0" w:num="1">
        <w:col w:w="11100"/>
      </w:cols>
      <w:pgMar w:left="50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lvl w:ilvl="1">
      <w:lvlJc w:val="left"/>
      <w:lvlText w:val="(%2)"/>
      <w:numFmt w:val="lowerLetter"/>
      <w:start w:val="1"/>
    </w:lvl>
  </w:abstractNum>
  <w:abstractNum w:abstractNumId="20">
    <w:nsid w:val="B03E0C6"/>
    <w:multiLevelType w:val="hybridMultilevel"/>
    <w:lvl w:ilvl="0">
      <w:lvlJc w:val="left"/>
      <w:lvlText w:val="%1."/>
      <w:numFmt w:val="decimal"/>
      <w:start w:val="1"/>
    </w:lvl>
    <w:lvl w:ilvl="1">
      <w:lvlJc w:val="left"/>
      <w:lvlText w:val="(%2)"/>
      <w:numFmt w:val="lowerLetter"/>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2"/>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0"/>
    </w:lvl>
  </w:abstractNum>
  <w:abstractNum w:abstractNumId="30">
    <w:nsid w:val="7C3DBD3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158" Type="http://schemas.openxmlformats.org/officeDocument/2006/relationships/image" Target="media/image63.png"/><Relationship Id="rId159" Type="http://schemas.openxmlformats.org/officeDocument/2006/relationships/image" Target="media/image64.png"/><Relationship Id="rId160" Type="http://schemas.openxmlformats.org/officeDocument/2006/relationships/image" Target="media/image65.png"/><Relationship Id="rId161" Type="http://schemas.openxmlformats.org/officeDocument/2006/relationships/image" Target="media/image66.png"/><Relationship Id="rId162" Type="http://schemas.openxmlformats.org/officeDocument/2006/relationships/image" Target="media/image67.png"/><Relationship Id="rId163" Type="http://schemas.openxmlformats.org/officeDocument/2006/relationships/image" Target="media/image68.png"/><Relationship Id="rId164" Type="http://schemas.openxmlformats.org/officeDocument/2006/relationships/image" Target="media/image69.png"/><Relationship Id="rId165" Type="http://schemas.openxmlformats.org/officeDocument/2006/relationships/image" Target="media/image70.png"/><Relationship Id="rId166" Type="http://schemas.openxmlformats.org/officeDocument/2006/relationships/image" Target="media/image71.png"/><Relationship Id="rId167" Type="http://schemas.openxmlformats.org/officeDocument/2006/relationships/image" Target="media/image72.png"/><Relationship Id="rId168" Type="http://schemas.openxmlformats.org/officeDocument/2006/relationships/image" Target="media/image73.png"/><Relationship Id="rId169" Type="http://schemas.openxmlformats.org/officeDocument/2006/relationships/image" Target="media/image74.png"/><Relationship Id="rId170" Type="http://schemas.openxmlformats.org/officeDocument/2006/relationships/image" Target="media/image75.png"/><Relationship Id="rId171" Type="http://schemas.openxmlformats.org/officeDocument/2006/relationships/image" Target="media/image76.png"/><Relationship Id="rId172" Type="http://schemas.openxmlformats.org/officeDocument/2006/relationships/image" Target="media/image77.png"/><Relationship Id="rId173" Type="http://schemas.openxmlformats.org/officeDocument/2006/relationships/image" Target="media/image78.png"/><Relationship Id="rId174" Type="http://schemas.openxmlformats.org/officeDocument/2006/relationships/image" Target="media/image79.png"/><Relationship Id="rId175" Type="http://schemas.openxmlformats.org/officeDocument/2006/relationships/image" Target="media/image80.png"/><Relationship Id="rId176" Type="http://schemas.openxmlformats.org/officeDocument/2006/relationships/image" Target="media/image81.png"/><Relationship Id="rId177" Type="http://schemas.openxmlformats.org/officeDocument/2006/relationships/image" Target="media/image82.png"/><Relationship Id="rId178" Type="http://schemas.openxmlformats.org/officeDocument/2006/relationships/image" Target="media/image83.png"/><Relationship Id="rId179" Type="http://schemas.openxmlformats.org/officeDocument/2006/relationships/image" Target="media/image84.png"/><Relationship Id="rId180" Type="http://schemas.openxmlformats.org/officeDocument/2006/relationships/image" Target="media/image85.png"/><Relationship Id="rId181" Type="http://schemas.openxmlformats.org/officeDocument/2006/relationships/image" Target="media/image86.png"/><Relationship Id="rId182" Type="http://schemas.openxmlformats.org/officeDocument/2006/relationships/image" Target="media/image87.png"/><Relationship Id="rId183" Type="http://schemas.openxmlformats.org/officeDocument/2006/relationships/image" Target="media/image88.png"/><Relationship Id="rId184" Type="http://schemas.openxmlformats.org/officeDocument/2006/relationships/image" Target="media/image89.png"/><Relationship Id="rId185" Type="http://schemas.openxmlformats.org/officeDocument/2006/relationships/image" Target="media/image90.png"/><Relationship Id="rId186" Type="http://schemas.openxmlformats.org/officeDocument/2006/relationships/image" Target="media/image91.png"/><Relationship Id="rId187" Type="http://schemas.openxmlformats.org/officeDocument/2006/relationships/image" Target="media/image92.png"/><Relationship Id="rId188" Type="http://schemas.openxmlformats.org/officeDocument/2006/relationships/image" Target="media/image93.png"/><Relationship Id="rId189" Type="http://schemas.openxmlformats.org/officeDocument/2006/relationships/image" Target="media/image94.png"/><Relationship Id="rId190" Type="http://schemas.openxmlformats.org/officeDocument/2006/relationships/image" Target="media/image95.png"/><Relationship Id="rId191" Type="http://schemas.openxmlformats.org/officeDocument/2006/relationships/image" Target="media/image96.png"/><Relationship Id="rId192" Type="http://schemas.openxmlformats.org/officeDocument/2006/relationships/image" Target="media/image97.png"/><Relationship Id="rId193" Type="http://schemas.openxmlformats.org/officeDocument/2006/relationships/image" Target="media/image98.png"/><Relationship Id="rId194" Type="http://schemas.openxmlformats.org/officeDocument/2006/relationships/image" Target="media/image99.png"/><Relationship Id="rId195" Type="http://schemas.openxmlformats.org/officeDocument/2006/relationships/image" Target="media/image100.png"/><Relationship Id="rId196" Type="http://schemas.openxmlformats.org/officeDocument/2006/relationships/image" Target="media/image101.png"/><Relationship Id="rId197" Type="http://schemas.openxmlformats.org/officeDocument/2006/relationships/image" Target="media/image102.png"/><Relationship Id="rId198" Type="http://schemas.openxmlformats.org/officeDocument/2006/relationships/image" Target="media/image103.png"/><Relationship Id="rId199" Type="http://schemas.openxmlformats.org/officeDocument/2006/relationships/image" Target="media/image104.png"/><Relationship Id="rId200" Type="http://schemas.openxmlformats.org/officeDocument/2006/relationships/image" Target="media/image105.png"/><Relationship Id="rId201" Type="http://schemas.openxmlformats.org/officeDocument/2006/relationships/image" Target="media/image106.png"/><Relationship Id="rId202" Type="http://schemas.openxmlformats.org/officeDocument/2006/relationships/image" Target="media/image107.png"/><Relationship Id="rId203" Type="http://schemas.openxmlformats.org/officeDocument/2006/relationships/image" Target="media/image108.png"/><Relationship Id="rId204" Type="http://schemas.openxmlformats.org/officeDocument/2006/relationships/image" Target="media/image109.png"/><Relationship Id="rId205" Type="http://schemas.openxmlformats.org/officeDocument/2006/relationships/image" Target="media/image110.png"/><Relationship Id="rId206" Type="http://schemas.openxmlformats.org/officeDocument/2006/relationships/image" Target="media/image111.png"/><Relationship Id="rId207" Type="http://schemas.openxmlformats.org/officeDocument/2006/relationships/image" Target="media/image112.png"/><Relationship Id="rId208" Type="http://schemas.openxmlformats.org/officeDocument/2006/relationships/image" Target="media/image113.png"/><Relationship Id="rId209" Type="http://schemas.openxmlformats.org/officeDocument/2006/relationships/image" Target="media/image114.png"/><Relationship Id="rId210" Type="http://schemas.openxmlformats.org/officeDocument/2006/relationships/image" Target="media/image115.png"/><Relationship Id="rId211" Type="http://schemas.openxmlformats.org/officeDocument/2006/relationships/image" Target="media/image116.png"/><Relationship Id="rId212" Type="http://schemas.openxmlformats.org/officeDocument/2006/relationships/image" Target="media/image117.png"/><Relationship Id="rId213" Type="http://schemas.openxmlformats.org/officeDocument/2006/relationships/image" Target="media/image118.png"/><Relationship Id="rId214" Type="http://schemas.openxmlformats.org/officeDocument/2006/relationships/image" Target="media/image119.png"/><Relationship Id="rId215" Type="http://schemas.openxmlformats.org/officeDocument/2006/relationships/image" Target="media/image120.png"/><Relationship Id="rId216" Type="http://schemas.openxmlformats.org/officeDocument/2006/relationships/image" Target="media/image121.png"/><Relationship Id="rId217" Type="http://schemas.openxmlformats.org/officeDocument/2006/relationships/image" Target="media/image122.png"/><Relationship Id="rId218" Type="http://schemas.openxmlformats.org/officeDocument/2006/relationships/image" Target="media/image123.png"/><Relationship Id="rId219" Type="http://schemas.openxmlformats.org/officeDocument/2006/relationships/image" Target="media/image124.png"/><Relationship Id="rId220" Type="http://schemas.openxmlformats.org/officeDocument/2006/relationships/image" Target="media/image125.png"/><Relationship Id="rId221" Type="http://schemas.openxmlformats.org/officeDocument/2006/relationships/image" Target="media/image126.png"/><Relationship Id="rId222" Type="http://schemas.openxmlformats.org/officeDocument/2006/relationships/image" Target="media/image127.png"/><Relationship Id="rId223" Type="http://schemas.openxmlformats.org/officeDocument/2006/relationships/image" Target="media/image128.png"/><Relationship Id="rId224" Type="http://schemas.openxmlformats.org/officeDocument/2006/relationships/image" Target="media/image129.png"/><Relationship Id="rId225" Type="http://schemas.openxmlformats.org/officeDocument/2006/relationships/image" Target="media/image130.jpeg"/><Relationship Id="rId226" Type="http://schemas.openxmlformats.org/officeDocument/2006/relationships/image" Target="media/image131.png"/><Relationship Id="rId227" Type="http://schemas.openxmlformats.org/officeDocument/2006/relationships/image" Target="media/image132.png"/><Relationship Id="rId228" Type="http://schemas.openxmlformats.org/officeDocument/2006/relationships/image" Target="media/image133.png"/><Relationship Id="rId229" Type="http://schemas.openxmlformats.org/officeDocument/2006/relationships/image" Target="media/image134.png"/><Relationship Id="rId230" Type="http://schemas.openxmlformats.org/officeDocument/2006/relationships/image" Target="media/image135.png"/><Relationship Id="rId231" Type="http://schemas.openxmlformats.org/officeDocument/2006/relationships/image" Target="media/image136.png"/><Relationship Id="rId232" Type="http://schemas.openxmlformats.org/officeDocument/2006/relationships/image" Target="media/image137.jpeg"/><Relationship Id="rId233" Type="http://schemas.openxmlformats.org/officeDocument/2006/relationships/image" Target="media/image138.png"/><Relationship Id="rId234" Type="http://schemas.openxmlformats.org/officeDocument/2006/relationships/image" Target="media/image139.png"/><Relationship Id="rId235" Type="http://schemas.openxmlformats.org/officeDocument/2006/relationships/image" Target="media/image140.png"/><Relationship Id="rId236" Type="http://schemas.openxmlformats.org/officeDocument/2006/relationships/image" Target="media/image141.png"/><Relationship Id="rId237" Type="http://schemas.openxmlformats.org/officeDocument/2006/relationships/image" Target="media/image142.jpeg"/><Relationship Id="rId238" Type="http://schemas.openxmlformats.org/officeDocument/2006/relationships/image" Target="media/image143.png"/><Relationship Id="rId239" Type="http://schemas.openxmlformats.org/officeDocument/2006/relationships/image" Target="media/image144.png"/><Relationship Id="rId240" Type="http://schemas.openxmlformats.org/officeDocument/2006/relationships/image" Target="media/image145.jpeg"/><Relationship Id="rId70" Type="http://schemas.openxmlformats.org/officeDocument/2006/relationships/hyperlink" Target="https://www.sec.gov/Archives/edgar/data/103730/000010373012000031/exhhibit3-1.htm" TargetMode="External"/><Relationship Id="rId71" Type="http://schemas.openxmlformats.org/officeDocument/2006/relationships/hyperlink" Target="https://www.sec.gov/Archives/edgar/data/103730/000120677411001322/exhibit3-2.htm" TargetMode="External"/><Relationship Id="rId72" Type="http://schemas.openxmlformats.org/officeDocument/2006/relationships/hyperlink" Target="https://www.sec.gov/Archives/edgar/data/103730/000010373015000037/exhibit3-1.htm" TargetMode="External"/><Relationship Id="rId73" Type="http://schemas.openxmlformats.org/officeDocument/2006/relationships/hyperlink" Target="https://www.sec.gov/Archives/edgar/data/103730/000010373023000010/exhibit3-1.htm" TargetMode="External"/><Relationship Id="rId74" Type="http://schemas.openxmlformats.org/officeDocument/2006/relationships/hyperlink" Target="https://www.sec.gov/Archives/edgar/data/103730/000010373018000027/exhibit4-1.htm" TargetMode="External"/><Relationship Id="rId75" Type="http://schemas.openxmlformats.org/officeDocument/2006/relationships/hyperlink" Target="https://www.sec.gov/Archives/edgar/data/103730/000010373018000027/exhibit4-2.htm" TargetMode="External"/><Relationship Id="rId76" Type="http://schemas.openxmlformats.org/officeDocument/2006/relationships/hyperlink" Target="https://www.sec.gov/Archives/edgar/data/103730/000010373022000072/exhibit4-1.htm" TargetMode="External"/><Relationship Id="rId77" Type="http://schemas.openxmlformats.org/officeDocument/2006/relationships/hyperlink" Target="https://www.sec.gov/Archives/edgar/data/103730/000010373021000003/exhibit4-1.htm" TargetMode="External"/><Relationship Id="rId78" Type="http://schemas.openxmlformats.org/officeDocument/2006/relationships/hyperlink" Target="https://www.sec.gov/Archives/edgar/data/103730/000010373024000122/exhibit4-1.htm" TargetMode="External"/><Relationship Id="rId79" Type="http://schemas.openxmlformats.org/officeDocument/2006/relationships/hyperlink" Target="https://www.sec.gov/Archives/edgar/data/103730/000010373023000078/exhibit4-1.htm" TargetMode="External"/><Relationship Id="rId80" Type="http://schemas.openxmlformats.org/officeDocument/2006/relationships/hyperlink" Target="https://www.sec.gov/Archives/edgar/data/103730/000010373024000122/exhibit4-2.htm" TargetMode="External"/><Relationship Id="rId81" Type="http://schemas.openxmlformats.org/officeDocument/2006/relationships/hyperlink" Target="https://www.sec.gov/Archives/edgar/data/103730/000010373023000078/exhibit4-1.htm#EXHIBITA" TargetMode="External"/><Relationship Id="rId82" Type="http://schemas.openxmlformats.org/officeDocument/2006/relationships/hyperlink" Target="https://www.sec.gov/Archives/edgar/data/103730/000010373017000014/vishay_def14a.htm" TargetMode="External"/><Relationship Id="rId83" Type="http://schemas.openxmlformats.org/officeDocument/2006/relationships/hyperlink" Target="https://www.sec.gov/Archives/edgar/data/103730/000010373014000014/vishay_def14a.htm" TargetMode="External"/><Relationship Id="rId84" Type="http://schemas.openxmlformats.org/officeDocument/2006/relationships/hyperlink" Target="https://www.sec.gov/Archives/edgar/data/103730/000010373023000013/exhibit10-3.htm" TargetMode="External"/><Relationship Id="rId85" Type="http://schemas.openxmlformats.org/officeDocument/2006/relationships/hyperlink" Target="https://www.sec.gov/Archives/edgar/data/103730/000114036123016002/vishay_def14a.htm#ANNEXA" TargetMode="External"/><Relationship Id="rId86" Type="http://schemas.openxmlformats.org/officeDocument/2006/relationships/hyperlink" Target="https://www.sec.gov/Archives/edgar/data/103730/000120677404001619/vi71325ex103.htm" TargetMode="External"/><Relationship Id="rId87" Type="http://schemas.openxmlformats.org/officeDocument/2006/relationships/hyperlink" Target="https://www.sec.gov/Archives/edgar/data/103730/000120677410001828/exhibit10-5.htm" TargetMode="External"/><Relationship Id="rId88" Type="http://schemas.openxmlformats.org/officeDocument/2006/relationships/hyperlink" Target="https://www.sec.gov/Archives/edgar/data/103730/000010373011000005/exhibit10-3.htm" TargetMode="External"/><Relationship Id="rId89" Type="http://schemas.openxmlformats.org/officeDocument/2006/relationships/hyperlink" Target="https://www.sec.gov/Archives/edgar/data/103730/000010373021000046/exhibit10-1.htm" TargetMode="External"/><Relationship Id="rId90" Type="http://schemas.openxmlformats.org/officeDocument/2006/relationships/hyperlink" Target="https://www.sec.gov/Archives/edgar/data/103730/000120677404001619/vi71325ex102.htm" TargetMode="External"/><Relationship Id="rId91" Type="http://schemas.openxmlformats.org/officeDocument/2006/relationships/hyperlink" Target="https://www.sec.gov/Archives/edgar/data/103730/000120677410001828/exhibit10-6.htm" TargetMode="External"/><Relationship Id="rId92" Type="http://schemas.openxmlformats.org/officeDocument/2006/relationships/hyperlink" Target="https://www.sec.gov/Archives/edgar/data/103730/000010373011000005/exhibit10-2.htm" TargetMode="External"/><Relationship Id="rId93" Type="http://schemas.openxmlformats.org/officeDocument/2006/relationships/hyperlink" Target="https://www.sec.gov/Archives/edgar/data/103730/000010373021000030/exhibit10-1.htm" TargetMode="External"/><Relationship Id="rId94" Type="http://schemas.openxmlformats.org/officeDocument/2006/relationships/hyperlink" Target="https://www.sec.gov/Archives/edgar/data/103730/000010373022000044/exhibit10-1.htm" TargetMode="External"/><Relationship Id="rId95" Type="http://schemas.openxmlformats.org/officeDocument/2006/relationships/hyperlink" Target="https://www.sec.gov/Archives/edgar/data/103730/000010373018000007/exhibit10-5.htm" TargetMode="External"/><Relationship Id="rId96" Type="http://schemas.openxmlformats.org/officeDocument/2006/relationships/hyperlink" Target="https://www.sec.gov/Archives/edgar/data/103730/000010373020000052/exhibit10-1.htm" TargetMode="External"/><Relationship Id="rId97" Type="http://schemas.openxmlformats.org/officeDocument/2006/relationships/hyperlink" Target="https://www.sec.gov/Archives/edgar/data/103730/000010373021000030/exhibit10-6.htm" TargetMode="External"/><Relationship Id="rId98" Type="http://schemas.openxmlformats.org/officeDocument/2006/relationships/hyperlink" Target="https://www.sec.gov/Archives/edgar/data/103730/000010373022000044/exhibit10-2.htm" TargetMode="External"/><Relationship Id="rId99" Type="http://schemas.openxmlformats.org/officeDocument/2006/relationships/hyperlink" Target="https://www.sec.gov/Archives/edgar/data/103730/000010373024000037/exhibit10-1.htm" TargetMode="External"/><Relationship Id="rId100" Type="http://schemas.openxmlformats.org/officeDocument/2006/relationships/hyperlink" Target="https://www.sec.gov/Archives/edgar/data/103730/000010373018000007/exhibit10-1.htm" TargetMode="External"/><Relationship Id="rId101" Type="http://schemas.openxmlformats.org/officeDocument/2006/relationships/hyperlink" Target="https://www.sec.gov/Archives/edgar/data/103730/000010373020000016/exhibit10-1.htm" TargetMode="External"/><Relationship Id="rId102" Type="http://schemas.openxmlformats.org/officeDocument/2006/relationships/hyperlink" Target="https://www.sec.gov/Archives/edgar/data/103730/000010373021000030/exhibit10-2.htm" TargetMode="External"/><Relationship Id="rId103" Type="http://schemas.openxmlformats.org/officeDocument/2006/relationships/hyperlink" Target="https://www.sec.gov/Archives/edgar/data/103730/000010373022000044/exhibit10-3.htm" TargetMode="External"/><Relationship Id="rId104" Type="http://schemas.openxmlformats.org/officeDocument/2006/relationships/hyperlink" Target="https://www.sec.gov/Archives/edgar/data/103730/000010373012000011/exhibit10-31.htm" TargetMode="External"/><Relationship Id="rId105" Type="http://schemas.openxmlformats.org/officeDocument/2006/relationships/hyperlink" Target="https://www.sec.gov/Archives/edgar/data/103730/000010373014000021/exhibit10-3.htm" TargetMode="External"/><Relationship Id="rId106" Type="http://schemas.openxmlformats.org/officeDocument/2006/relationships/hyperlink" Target="https://www.sec.gov/Archives/edgar/data/103730/000010373015000022/exhibit10-4.htm" TargetMode="External"/><Relationship Id="rId107" Type="http://schemas.openxmlformats.org/officeDocument/2006/relationships/hyperlink" Target="https://www.sec.gov/Archives/edgar/data/103730/000010373018000007/exhibit10-2.htm" TargetMode="External"/><Relationship Id="rId108" Type="http://schemas.openxmlformats.org/officeDocument/2006/relationships/hyperlink" Target="https://www.sec.gov/Archives/edgar/data/103730/000010373021000030/exhibit10-3.htm" TargetMode="External"/><Relationship Id="rId109" Type="http://schemas.openxmlformats.org/officeDocument/2006/relationships/hyperlink" Target="https://www.sec.gov/Archives/edgar/data/103730/000010373022000072/exhibit10-8.htm" TargetMode="External"/><Relationship Id="rId110" Type="http://schemas.openxmlformats.org/officeDocument/2006/relationships/hyperlink" Target="https://www.sec.gov/Archives/edgar/data/103730/000010373018000007/exhibit10-3.htm" TargetMode="External"/><Relationship Id="rId111" Type="http://schemas.openxmlformats.org/officeDocument/2006/relationships/hyperlink" Target="https://www.sec.gov/Archives/edgar/data/103730/000010373021000030/exhibit10-4.htm" TargetMode="External"/><Relationship Id="rId112" Type="http://schemas.openxmlformats.org/officeDocument/2006/relationships/hyperlink" Target="https://www.sec.gov/Archives/edgar/data/103730/000010373022000072/exhibit10-9.htm" TargetMode="External"/><Relationship Id="rId113" Type="http://schemas.openxmlformats.org/officeDocument/2006/relationships/hyperlink" Target="https://www.sec.gov/Archives/edgar/data/103730/000010373018000007/exhibit10-4.htm" TargetMode="External"/><Relationship Id="rId114" Type="http://schemas.openxmlformats.org/officeDocument/2006/relationships/hyperlink" Target="https://www.sec.gov/Archives/edgar/data/103730/000010373021000030/exhibit10-5.htm" TargetMode="External"/><Relationship Id="rId115" Type="http://schemas.openxmlformats.org/officeDocument/2006/relationships/hyperlink" Target="https://www.sec.gov/Archives/edgar/data/103730/000010373022000072/exhibit10-10.htm" TargetMode="External"/><Relationship Id="rId116" Type="http://schemas.openxmlformats.org/officeDocument/2006/relationships/hyperlink" Target="https://www.sec.gov/Archives/edgar/data/103730/000010373020000052/exhibit10-2.htm" TargetMode="External"/><Relationship Id="rId117" Type="http://schemas.openxmlformats.org/officeDocument/2006/relationships/hyperlink" Target="https://www.sec.gov/Archives/edgar/data/103730/000010373021000030/exhibit10-7.htm" TargetMode="External"/><Relationship Id="rId118" Type="http://schemas.openxmlformats.org/officeDocument/2006/relationships/hyperlink" Target="https://www.sec.gov/Archives/edgar/data/103730/000010373022000044/exhibit10-4.htm" TargetMode="External"/><Relationship Id="rId119" Type="http://schemas.openxmlformats.org/officeDocument/2006/relationships/hyperlink" Target="https://www.sec.gov/Archives/edgar/data/103730/000010373024000037/exhibit10-2.htm" TargetMode="External"/><Relationship Id="rId120" Type="http://schemas.openxmlformats.org/officeDocument/2006/relationships/hyperlink" Target="https://www.sec.gov/Archives/edgar/data/103730/000010373022000044/exhibit10-5.htm" TargetMode="External"/><Relationship Id="rId121" Type="http://schemas.openxmlformats.org/officeDocument/2006/relationships/hyperlink" Target="https://www.sec.gov/Archives/edgar/data/103730/000010373024000037/exhibit10-4.htm" TargetMode="External"/><Relationship Id="rId122" Type="http://schemas.openxmlformats.org/officeDocument/2006/relationships/hyperlink" Target="https://www.sec.gov/Archives/edgar/data/103730/000010373020000052/exhibit10-3.htm" TargetMode="External"/><Relationship Id="rId123" Type="http://schemas.openxmlformats.org/officeDocument/2006/relationships/hyperlink" Target="https://www.sec.gov/Archives/edgar/data/103730/000010373021000030/exhibit10-8.htm" TargetMode="External"/><Relationship Id="rId124" Type="http://schemas.openxmlformats.org/officeDocument/2006/relationships/hyperlink" Target="https://www.sec.gov/Archives/edgar/data/103730/000010373022000044/exhibit10-6.htm" TargetMode="External"/><Relationship Id="rId125" Type="http://schemas.openxmlformats.org/officeDocument/2006/relationships/hyperlink" Target="https://www.sec.gov/Archives/edgar/data/103730/000010373022000044/exhibit10-7.htm" TargetMode="External"/><Relationship Id="rId126" Type="http://schemas.openxmlformats.org/officeDocument/2006/relationships/hyperlink" Target="https://www.sec.gov/Archives/edgar/data/103730/000010373024000037/exhibit10-6.htm" TargetMode="External"/><Relationship Id="rId127" Type="http://schemas.openxmlformats.org/officeDocument/2006/relationships/hyperlink" Target="https://www.sec.gov/Archives/edgar/data/103730/000010373024000037/exhibit10-3.htm" TargetMode="External"/><Relationship Id="rId128" Type="http://schemas.openxmlformats.org/officeDocument/2006/relationships/hyperlink" Target="https://www.sec.gov/Archives/edgar/data/103730/000010373024000037/exhibit10-5.htm" TargetMode="External"/><Relationship Id="rId129" Type="http://schemas.openxmlformats.org/officeDocument/2006/relationships/hyperlink" Target="https://www.sec.gov/Archives/edgar/data/103730/000010373016000113/exhibit10-1.htm" TargetMode="External"/><Relationship Id="rId130" Type="http://schemas.openxmlformats.org/officeDocument/2006/relationships/hyperlink" Target="https://www.sec.gov/Archives/edgar/data/103730/000120677410001484/exhibit10-1.htm" TargetMode="External"/><Relationship Id="rId131" Type="http://schemas.openxmlformats.org/officeDocument/2006/relationships/hyperlink" Target="https://www.sec.gov/Archives/edgar/data/103730/000120677410001484/exhibit10-2.htm" TargetMode="External"/><Relationship Id="rId132" Type="http://schemas.openxmlformats.org/officeDocument/2006/relationships/hyperlink" Target="https://www.sec.gov/Archives/edgar/data/1487952/000120677410001567/exhibit10-1.htm" TargetMode="External"/><Relationship Id="rId133" Type="http://schemas.openxmlformats.org/officeDocument/2006/relationships/hyperlink" Target="https://www.sec.gov/Archives/edgar/data/1487952/000120677410001567/exhibit10-2.htm" TargetMode="External"/><Relationship Id="rId134" Type="http://schemas.openxmlformats.org/officeDocument/2006/relationships/hyperlink" Target="https://www.sec.gov/Archives/edgar/data/1487952/000120677410001567/exhibit10-4.htm" TargetMode="External"/><Relationship Id="rId135" Type="http://schemas.openxmlformats.org/officeDocument/2006/relationships/hyperlink" Target="https://www.sec.gov/Archives/edgar/data/1487952/000120677410001567/exhibit10-6.htm" TargetMode="External"/><Relationship Id="rId136" Type="http://schemas.openxmlformats.org/officeDocument/2006/relationships/hyperlink" Target="https://www.sec.gov/Archives/edgar/data/1487952/000120677410001567/exhibit10-8.htm" TargetMode="External"/><Relationship Id="rId137" Type="http://schemas.openxmlformats.org/officeDocument/2006/relationships/hyperlink" Target="https://www.sec.gov/Archives/edgar/data/1487952/000120677410001567/exhibit10-9.htm" TargetMode="External"/><Relationship Id="rId138" Type="http://schemas.openxmlformats.org/officeDocument/2006/relationships/hyperlink" Target="https://www.sec.gov/Archives/edgar/data/1487952/000120677410001567/exhibit10-10.htm" TargetMode="External"/><Relationship Id="rId139" Type="http://schemas.openxmlformats.org/officeDocument/2006/relationships/hyperlink" Target="https://www.sec.gov/Archives/edgar/data/1487952/000120677410001567/exhibit10-11.htm" TargetMode="External"/><Relationship Id="rId140" Type="http://schemas.openxmlformats.org/officeDocument/2006/relationships/hyperlink" Target="https://www.sec.gov/Archives/edgar/data/1487952/000120677410001567/exhibit10-12.htm" TargetMode="External"/><Relationship Id="rId141" Type="http://schemas.openxmlformats.org/officeDocument/2006/relationships/hyperlink" Target="https://www.sec.gov/Archives/edgar/data/1487952/000120677410001567/exhibit10-13.htm" TargetMode="External"/><Relationship Id="rId142" Type="http://schemas.openxmlformats.org/officeDocument/2006/relationships/hyperlink" Target="https://www.sec.gov/Archives/edgar/data/103730/000010373019000026/exhibit10-1.htm" TargetMode="External"/><Relationship Id="rId143" Type="http://schemas.openxmlformats.org/officeDocument/2006/relationships/hyperlink" Target="https://www.sec.gov/Archives/edgar/data/103730/000010373019000060/exhibit10-1.htm" TargetMode="External"/><Relationship Id="rId144" Type="http://schemas.openxmlformats.org/officeDocument/2006/relationships/hyperlink" Target="https://www.sec.gov/Archives/edgar/data/103730/000010373023000034/exhibit10-1.htm" TargetMode="External"/><Relationship Id="rId145" Type="http://schemas.openxmlformats.org/officeDocument/2006/relationships/hyperlink" Target="https://www.sec.gov/Archives/edgar/data/103730/000010373024000104/exhibit10-1.htm" TargetMode="External"/><Relationship Id="rId146" Type="http://schemas.openxmlformats.org/officeDocument/2006/relationships/hyperlink" Target="https://www.sec.gov/Archives/edgar/data/103730/000010373023000040/exhibit10-1.htm" TargetMode="External"/><Relationship Id="rId147" Type="http://schemas.openxmlformats.org/officeDocument/2006/relationships/hyperlink" Target="https://www.sec.gov/Archives/edgar/data/103730/000010373020000013/exhibit10-48.htm" TargetMode="External"/><Relationship Id="rId148" Type="http://schemas.openxmlformats.org/officeDocument/2006/relationships/hyperlink" Target="https://www.sec.gov/Archives/edgar/data/103730/000010373020000013/exhibit10-50.htm" TargetMode="External"/><Relationship Id="rId149" Type="http://schemas.openxmlformats.org/officeDocument/2006/relationships/hyperlink" Target="https://www.sec.gov/Archives/edgar/data/103730/000010373021000014/exhibit10-44.htm" TargetMode="External"/><Relationship Id="rId150" Type="http://schemas.openxmlformats.org/officeDocument/2006/relationships/hyperlink" Target="https://www.sec.gov/Archives/edgar/data/103730/000010373021000085/exhibit10-1.htm" TargetMode="External"/><Relationship Id="rId151" Type="http://schemas.openxmlformats.org/officeDocument/2006/relationships/hyperlink" Target="https://www.sec.gov/Archives/edgar/data/103730/000010373023000078/exhibit10-1.htm" TargetMode="External"/><Relationship Id="rId152" Type="http://schemas.openxmlformats.org/officeDocument/2006/relationships/hyperlink" Target="https://www.sec.gov/Archives/edgar/data/103730/000010373023000078/exhibit10-2.htm" TargetMode="External"/><Relationship Id="rId153" Type="http://schemas.openxmlformats.org/officeDocument/2006/relationships/hyperlink" Target="https://www.sec.gov/Archives/edgar/data/103730/000010373024000034/exhibit10-66.htm" TargetMode="External"/><Relationship Id="rId154" Type="http://schemas.openxmlformats.org/officeDocument/2006/relationships/hyperlink" Target="https://www.sec.gov/Archives/edgar/data/103730/000010373024000034/exhibit10-67.htm" TargetMode="External"/><Relationship Id="rId155" Type="http://schemas.openxmlformats.org/officeDocument/2006/relationships/hyperlink" Target="https://www.sec.gov/Archives/edgar/data/103730/000010373024000084/exhibit10-7.htm" TargetMode="External"/><Relationship Id="rId156" Type="http://schemas.openxmlformats.org/officeDocument/2006/relationships/hyperlink" Target="https://www.sec.gov/Archives/edgar/data/103730/000010373024000084/exhibit10-8.htm" TargetMode="External"/><Relationship Id="rId157" Type="http://schemas.openxmlformats.org/officeDocument/2006/relationships/hyperlink" Target="https://www.sec.gov/Archives/edgar/data/103730/000010373024000034/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2025-02-14T06:36:23Z</dcterms:created>
  <dcterms:modified xsi:type="dcterms:W3CDTF">2025-02-14T06:36:23Z</dcterms:modified>
</cp:coreProperties>
</file>